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tLeast"/>
        <w:ind w:left="9926"/>
        <w:jc w:val="center"/>
      </w:pPr>
      <w:r>
        <w:t>ПРИЛОЖЕНИЕ</w:t>
      </w:r>
    </w:p>
    <w:p>
      <w:pPr>
        <w:ind w:left="9926"/>
        <w:jc w:val="center"/>
      </w:pPr>
      <w:r>
        <w:t xml:space="preserve">к протоколу заседания проектного комитета </w:t>
      </w:r>
    </w:p>
    <w:p>
      <w:pPr>
        <w:spacing w:line="240" w:lineRule="atLeast"/>
        <w:ind w:left="9926"/>
        <w:jc w:val="center"/>
      </w:pPr>
      <w:r>
        <w:t>по национальному проекту "Образование"</w:t>
      </w:r>
    </w:p>
    <w:p>
      <w:pPr>
        <w:spacing w:line="240" w:lineRule="atLeast"/>
        <w:ind w:left="9926"/>
        <w:jc w:val="center"/>
      </w:pPr>
      <w:r>
        <w:t xml:space="preserve">от 07 декабря </w:t>
      </w:r>
      <w:bookmarkStart w:id="0" w:name="_GoBack"/>
      <w:bookmarkEnd w:id="0"/>
      <w:r>
        <w:t>2018 г. № 3</w:t>
      </w: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А С П О Р Т</w:t>
      </w:r>
    </w:p>
    <w:p>
      <w:pPr>
        <w:jc w:val="center"/>
        <w:rPr>
          <w:b/>
        </w:rPr>
      </w:pPr>
      <w:r>
        <w:rPr>
          <w:b/>
        </w:rPr>
        <w:t>федерального проекта "Успех каждого ребенка"</w:t>
      </w:r>
    </w:p>
    <w:p>
      <w:pPr>
        <w:spacing w:line="240" w:lineRule="atLeast"/>
      </w:pPr>
    </w:p>
    <w:p>
      <w:pPr>
        <w:spacing w:line="240" w:lineRule="atLeast"/>
        <w:jc w:val="center"/>
      </w:pPr>
      <w:r>
        <w:t>1. Основные положения</w:t>
      </w:r>
    </w:p>
    <w:p>
      <w:pPr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2921"/>
        <w:gridCol w:w="4077"/>
        <w:gridCol w:w="3901"/>
      </w:tblGrid>
      <w:tr>
        <w:trPr>
          <w:cantSplit/>
        </w:trP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>Образование</w:t>
            </w:r>
          </w:p>
        </w:tc>
      </w:tr>
      <w:tr>
        <w:trPr>
          <w:cantSplit/>
        </w:trP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Краткое наименование федерального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>"Успех каждого ребенка"</w:t>
            </w: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>Срок начала и окончания</w:t>
            </w:r>
          </w:p>
        </w:tc>
        <w:tc>
          <w:tcPr>
            <w:tcW w:w="3623" w:type="dxa"/>
            <w:shd w:val="clear" w:color="auto" w:fill="auto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 xml:space="preserve">1 октября 2018 г. - </w:t>
            </w:r>
            <w:r>
              <w:br/>
              <w:t>31 декабря 2024 г.</w:t>
            </w:r>
          </w:p>
        </w:tc>
      </w:tr>
      <w:tr>
        <w:trPr>
          <w:cantSplit/>
        </w:trP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Куратор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proofErr w:type="spellStart"/>
            <w:r>
              <w:t>Т.А.Голикова</w:t>
            </w:r>
            <w:proofErr w:type="spellEnd"/>
            <w:r>
              <w:t>, заместитель Председателя Правительства Российской Федерации</w:t>
            </w:r>
          </w:p>
        </w:tc>
      </w:tr>
      <w:tr>
        <w:trPr>
          <w:cantSplit/>
        </w:trP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Руководитель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proofErr w:type="spellStart"/>
            <w:r>
              <w:t>М.Н.Ракова</w:t>
            </w:r>
            <w:proofErr w:type="spellEnd"/>
            <w:r>
              <w:t>, заместитель Министра просвещения Российской Федерации</w:t>
            </w:r>
          </w:p>
        </w:tc>
      </w:tr>
      <w:tr>
        <w:trPr>
          <w:cantSplit/>
        </w:trP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Администратор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proofErr w:type="spellStart"/>
            <w:r>
              <w:t>Е.М.Зак</w:t>
            </w:r>
            <w:proofErr w:type="spellEnd"/>
            <w:r>
              <w:t xml:space="preserve">, заместитель генерального директора ФГАУ "Фонд новых форм развития образования" </w:t>
            </w:r>
          </w:p>
        </w:tc>
      </w:tr>
      <w:tr>
        <w:trPr>
          <w:cantSplit/>
        </w:trP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10123" w:type="dxa"/>
            <w:gridSpan w:val="3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Государственная программа Российской Федерации "Развитие образования"</w:t>
            </w:r>
          </w:p>
        </w:tc>
      </w:tr>
    </w:tbl>
    <w:p>
      <w:pPr>
        <w:spacing w:line="240" w:lineRule="atLeast"/>
        <w:rPr>
          <w:b/>
        </w:rPr>
      </w:pPr>
    </w:p>
    <w:p>
      <w:pPr>
        <w:spacing w:line="240" w:lineRule="atLeast"/>
      </w:pPr>
      <w:r>
        <w:br w:type="page"/>
      </w:r>
    </w:p>
    <w:p>
      <w:pPr>
        <w:spacing w:line="240" w:lineRule="atLeast"/>
        <w:jc w:val="center"/>
      </w:pPr>
      <w:r>
        <w:lastRenderedPageBreak/>
        <w:t>2. Цель и показатели федерального проекта</w:t>
      </w:r>
    </w:p>
    <w:p>
      <w:pPr>
        <w:spacing w:line="240" w:lineRule="atLeast"/>
      </w:pPr>
    </w:p>
    <w:p>
      <w:pPr>
        <w:ind w:firstLine="709"/>
        <w:rPr>
          <w:bCs/>
        </w:rPr>
      </w:pPr>
      <w:proofErr w:type="gramStart"/>
      <w:r>
        <w:rPr>
          <w:bCs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proofErr w:type="gramEnd"/>
    </w:p>
    <w:p>
      <w:pPr>
        <w:spacing w:line="240" w:lineRule="atLeast"/>
      </w:pPr>
    </w:p>
    <w:p>
      <w:pPr>
        <w:spacing w:line="240" w:lineRule="atLeast"/>
      </w:pPr>
    </w:p>
    <w:tbl>
      <w:tblPr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4605"/>
        <w:gridCol w:w="1534"/>
        <w:gridCol w:w="1618"/>
        <w:gridCol w:w="1368"/>
        <w:gridCol w:w="1159"/>
        <w:gridCol w:w="1228"/>
        <w:gridCol w:w="1042"/>
        <w:gridCol w:w="858"/>
        <w:gridCol w:w="864"/>
        <w:gridCol w:w="849"/>
      </w:tblGrid>
      <w:tr>
        <w:trPr>
          <w:tblHeader/>
        </w:trPr>
        <w:tc>
          <w:tcPr>
            <w:tcW w:w="7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Тип показателя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Период, год</w:t>
            </w:r>
          </w:p>
        </w:tc>
      </w:tr>
      <w:tr>
        <w:trPr>
          <w:tblHeader/>
        </w:trPr>
        <w:tc>
          <w:tcPr>
            <w:tcW w:w="7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>
        <w:trPr>
          <w:tblHeader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c>
          <w:tcPr>
            <w:tcW w:w="7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3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61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6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2018 г.</w:t>
            </w:r>
          </w:p>
        </w:tc>
        <w:tc>
          <w:tcPr>
            <w:tcW w:w="11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2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6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  <w:tc>
          <w:tcPr>
            <w:tcW w:w="84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c>
          <w:tcPr>
            <w:tcW w:w="7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Число детей, охваченных деятельностью 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" (мобильных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 тыс. человек нарастающим итогом</w:t>
            </w:r>
          </w:p>
        </w:tc>
        <w:tc>
          <w:tcPr>
            <w:tcW w:w="153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61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6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2018 г.</w:t>
            </w:r>
          </w:p>
        </w:tc>
        <w:tc>
          <w:tcPr>
            <w:tcW w:w="11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2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042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85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86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84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>
        <w:tc>
          <w:tcPr>
            <w:tcW w:w="7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Число участников открытых онлайн-уроков, реализуемых с учетом опыта цикла открытых уроков "</w:t>
            </w:r>
            <w:proofErr w:type="spellStart"/>
            <w:r>
              <w:rPr>
                <w:i/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", "Уроки настоящего"</w:t>
            </w:r>
            <w:r>
              <w:rPr>
                <w:bCs/>
                <w:iCs/>
                <w:sz w:val="24"/>
              </w:rPr>
              <w:t xml:space="preserve"> или иных аналогичных по возможностям, функциям и результатам проектов</w:t>
            </w:r>
            <w:r>
              <w:rPr>
                <w:sz w:val="24"/>
              </w:rPr>
              <w:t xml:space="preserve">, направленных на </w:t>
            </w:r>
            <w:r>
              <w:rPr>
                <w:i/>
                <w:sz w:val="24"/>
              </w:rPr>
              <w:lastRenderedPageBreak/>
              <w:t>раннюю профориентацию</w:t>
            </w:r>
            <w:r>
              <w:rPr>
                <w:sz w:val="24"/>
              </w:rPr>
              <w:t>, млн. человек</w:t>
            </w:r>
          </w:p>
        </w:tc>
        <w:tc>
          <w:tcPr>
            <w:tcW w:w="153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Основной</w:t>
            </w:r>
          </w:p>
        </w:tc>
        <w:tc>
          <w:tcPr>
            <w:tcW w:w="161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2018 г.</w:t>
            </w:r>
          </w:p>
        </w:tc>
        <w:tc>
          <w:tcPr>
            <w:tcW w:w="11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c>
          <w:tcPr>
            <w:tcW w:w="7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60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Число детей, получивших рекомендации по построению </w:t>
            </w:r>
            <w:r>
              <w:rPr>
                <w:i/>
                <w:sz w:val="24"/>
              </w:rPr>
              <w:t>индивидуального учебного</w:t>
            </w:r>
            <w:r>
              <w:rPr>
                <w:sz w:val="24"/>
              </w:rPr>
              <w:t xml:space="preserve"> плана </w:t>
            </w:r>
            <w:r>
              <w:rPr>
                <w:bCs/>
                <w:sz w:val="24"/>
              </w:rPr>
              <w:t>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  <w:r>
              <w:rPr>
                <w:sz w:val="24"/>
              </w:rPr>
              <w:t>, нарастающим итогом тыс. человек</w:t>
            </w:r>
          </w:p>
        </w:tc>
        <w:tc>
          <w:tcPr>
            <w:tcW w:w="153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61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июня 2018 г.</w:t>
            </w:r>
          </w:p>
        </w:tc>
        <w:tc>
          <w:tcPr>
            <w:tcW w:w="11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42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5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86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84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>
        <w:tc>
          <w:tcPr>
            <w:tcW w:w="7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0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 xml:space="preserve">Число региональных </w:t>
            </w:r>
            <w:r>
              <w:rPr>
                <w:i/>
                <w:sz w:val="24"/>
              </w:rPr>
              <w:t xml:space="preserve">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</w:t>
            </w:r>
            <w:r>
              <w:rPr>
                <w:i/>
                <w:sz w:val="24"/>
              </w:rPr>
              <w:br/>
              <w:t>"Талант и успех"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участниками</w:t>
            </w:r>
            <w:proofErr w:type="gramEnd"/>
            <w:r>
              <w:rPr>
                <w:sz w:val="24"/>
              </w:rPr>
              <w:t xml:space="preserve"> которых стали не менее 5% обучающихся по образовательным программам основного и среднего общего образования в соответствующих субъектах Российской Федерации</w:t>
            </w:r>
            <w:r>
              <w:rPr>
                <w:bCs/>
                <w:sz w:val="24"/>
              </w:rPr>
              <w:t>, нарастающим итогом, единиц</w:t>
            </w:r>
          </w:p>
        </w:tc>
        <w:tc>
          <w:tcPr>
            <w:tcW w:w="153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61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2018 г.</w:t>
            </w:r>
          </w:p>
        </w:tc>
        <w:tc>
          <w:tcPr>
            <w:tcW w:w="11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2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6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4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>
      <w:pPr>
        <w:spacing w:line="240" w:lineRule="atLeast"/>
        <w:jc w:val="left"/>
      </w:pPr>
      <w:r>
        <w:br w:type="page"/>
      </w:r>
      <w:r>
        <w:lastRenderedPageBreak/>
        <w:t>3. Задачи и результаты федерального проекта</w:t>
      </w:r>
    </w:p>
    <w:p>
      <w:pPr>
        <w:spacing w:line="240" w:lineRule="atLeas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3"/>
        <w:gridCol w:w="7217"/>
        <w:gridCol w:w="7446"/>
        <w:gridCol w:w="236"/>
      </w:tblGrid>
      <w:tr>
        <w:trPr>
          <w:trHeight w:val="20"/>
          <w:tblHeader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Наименование задачи, результата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Характеристика результата</w:t>
            </w:r>
          </w:p>
        </w:tc>
      </w:tr>
      <w:tr>
        <w:trPr>
          <w:trHeight w:val="20"/>
          <w:tblHeader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4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bCs/>
                <w:sz w:val="24"/>
              </w:rPr>
            </w:pP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899" w:type="dxa"/>
            <w:gridSpan w:val="3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bCs/>
                <w:sz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br/>
              <w:t>1.12.</w:t>
            </w:r>
            <w:r>
              <w:rPr>
                <w:sz w:val="24"/>
              </w:rPr>
              <w:br/>
              <w:t>1.22.</w:t>
            </w:r>
            <w:r>
              <w:rPr>
                <w:sz w:val="24"/>
              </w:rPr>
              <w:br/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Создано 150 тыс.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  <w:r>
              <w:rPr>
                <w:sz w:val="24"/>
              </w:rPr>
              <w:br/>
              <w:t>Создано 520 тыс.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  <w:r>
              <w:rPr>
                <w:sz w:val="24"/>
              </w:rPr>
              <w:br/>
              <w:t>Создано не менее 900 тыс.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>
              <w:rPr>
                <w:sz w:val="24"/>
              </w:rPr>
              <w:br/>
            </w:r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proofErr w:type="gramStart"/>
            <w:r>
              <w:rPr>
                <w:sz w:val="24"/>
              </w:rPr>
              <w:t>Проведен отбор заявок субъектов Российской Федерации, показывающих низкий охват детей дополнительными общеобразовательными программами (менее 50% детей), на предоставление субсидий из федерального бюджета на обновление материально-технического обеспечения (</w:t>
            </w: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закупки средств обучения) существующей инфраструктуры системы дополнительного образования в соответствии с Методикой определения </w:t>
            </w:r>
            <w:proofErr w:type="spellStart"/>
            <w:r>
              <w:rPr>
                <w:sz w:val="24"/>
              </w:rPr>
              <w:t>высокооснащенных</w:t>
            </w:r>
            <w:proofErr w:type="spellEnd"/>
            <w:r>
              <w:rPr>
                <w:sz w:val="24"/>
              </w:rPr>
              <w:t xml:space="preserve"> мест для реализации образовательных программ в системе дополнительного образования детей (разработана в рамках реализации приоритетного проекта "Доступное дополнительное образование</w:t>
            </w:r>
            <w:proofErr w:type="gramEnd"/>
            <w:r>
              <w:rPr>
                <w:sz w:val="24"/>
              </w:rPr>
              <w:t xml:space="preserve"> для детей"). </w:t>
            </w:r>
            <w:r>
              <w:rPr>
                <w:sz w:val="24"/>
              </w:rPr>
              <w:br/>
              <w:t>За счет средств субсидии из федерального бюджета к концу 2019 года созданы 150 тыс. новых мест (к концу 2021 года - 900 тыс. нарастающим итогом)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br/>
              <w:t>1.13.</w:t>
            </w:r>
            <w:r>
              <w:rPr>
                <w:sz w:val="24"/>
              </w:rPr>
              <w:br/>
              <w:t>1.24</w:t>
            </w:r>
            <w:r>
              <w:rPr>
                <w:sz w:val="24"/>
              </w:rPr>
              <w:br/>
            </w:r>
            <w:r>
              <w:rPr>
                <w:iCs/>
                <w:sz w:val="24"/>
              </w:rPr>
              <w:t>1.32.</w:t>
            </w:r>
            <w:r>
              <w:rPr>
                <w:iCs/>
                <w:sz w:val="24"/>
              </w:rPr>
              <w:br/>
              <w:t>1.40.</w:t>
            </w:r>
            <w:r>
              <w:rPr>
                <w:iCs/>
                <w:sz w:val="24"/>
              </w:rPr>
              <w:br/>
              <w:t>1.47.</w:t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Не менее 4 млн. детей приняли участие в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 xml:space="preserve">", направленных на </w:t>
            </w:r>
            <w:r>
              <w:rPr>
                <w:i/>
                <w:sz w:val="24"/>
              </w:rPr>
              <w:t>раннюю профориентацию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br/>
            </w:r>
            <w:r>
              <w:rPr>
                <w:iCs/>
                <w:sz w:val="24"/>
              </w:rPr>
              <w:t>Не менее 6 млн. детей приняли участие в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iCs/>
                <w:sz w:val="24"/>
              </w:rPr>
              <w:t>Проектория</w:t>
            </w:r>
            <w:proofErr w:type="spellEnd"/>
            <w:r>
              <w:rPr>
                <w:iCs/>
                <w:sz w:val="24"/>
              </w:rPr>
              <w:t xml:space="preserve">", направленных на </w:t>
            </w:r>
            <w:r>
              <w:rPr>
                <w:i/>
                <w:iCs/>
                <w:sz w:val="24"/>
              </w:rPr>
              <w:t>раннюю профориентацию</w:t>
            </w:r>
            <w:r>
              <w:rPr>
                <w:iCs/>
                <w:sz w:val="24"/>
              </w:rPr>
              <w:t>.</w:t>
            </w:r>
            <w:r>
              <w:rPr>
                <w:iCs/>
                <w:sz w:val="24"/>
              </w:rPr>
              <w:br/>
              <w:t>Не менее 10 млн. детей приняли участие в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iCs/>
                <w:sz w:val="24"/>
              </w:rPr>
              <w:t>Проектория</w:t>
            </w:r>
            <w:proofErr w:type="spellEnd"/>
            <w:r>
              <w:rPr>
                <w:iCs/>
                <w:sz w:val="24"/>
              </w:rPr>
              <w:t xml:space="preserve">", направленных на </w:t>
            </w:r>
            <w:r>
              <w:rPr>
                <w:i/>
                <w:iCs/>
                <w:sz w:val="24"/>
              </w:rPr>
              <w:t>раннюю профориентацию</w:t>
            </w:r>
            <w:r>
              <w:rPr>
                <w:iCs/>
                <w:sz w:val="24"/>
              </w:rPr>
              <w:t>.</w:t>
            </w:r>
            <w:r>
              <w:rPr>
                <w:iCs/>
                <w:sz w:val="24"/>
              </w:rPr>
              <w:br/>
              <w:t>Не менее 10 млн. детей приняли участие в открытых онлайн-</w:t>
            </w:r>
            <w:r>
              <w:rPr>
                <w:iCs/>
                <w:sz w:val="24"/>
              </w:rPr>
              <w:lastRenderedPageBreak/>
              <w:t>уроках, реализуемых с учетом опыта цикла открытых уроков "</w:t>
            </w:r>
            <w:proofErr w:type="spellStart"/>
            <w:r>
              <w:rPr>
                <w:i/>
                <w:iCs/>
                <w:sz w:val="24"/>
              </w:rPr>
              <w:t>Проектория</w:t>
            </w:r>
            <w:proofErr w:type="spellEnd"/>
            <w:r>
              <w:rPr>
                <w:iCs/>
                <w:sz w:val="24"/>
              </w:rPr>
              <w:t xml:space="preserve">", направленных на </w:t>
            </w:r>
            <w:r>
              <w:rPr>
                <w:i/>
                <w:iCs/>
                <w:sz w:val="24"/>
              </w:rPr>
              <w:t>раннюю профориентацию</w:t>
            </w:r>
            <w:r>
              <w:rPr>
                <w:iCs/>
                <w:sz w:val="24"/>
              </w:rPr>
              <w:t>.</w:t>
            </w:r>
            <w:r>
              <w:rPr>
                <w:iCs/>
                <w:sz w:val="24"/>
              </w:rPr>
              <w:br/>
              <w:t>Не менее 10 млн. детей приняли участие в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iCs/>
                <w:sz w:val="24"/>
              </w:rPr>
              <w:t>Проектория</w:t>
            </w:r>
            <w:proofErr w:type="spellEnd"/>
            <w:r>
              <w:rPr>
                <w:iCs/>
                <w:sz w:val="24"/>
              </w:rPr>
              <w:t xml:space="preserve">", направленных на </w:t>
            </w:r>
            <w:r>
              <w:rPr>
                <w:i/>
                <w:iCs/>
                <w:sz w:val="24"/>
              </w:rPr>
              <w:t>раннюю профориентацию</w:t>
            </w:r>
            <w:r>
              <w:rPr>
                <w:iCs/>
                <w:sz w:val="24"/>
              </w:rPr>
              <w:t>.</w:t>
            </w:r>
            <w:r>
              <w:rPr>
                <w:iCs/>
                <w:sz w:val="24"/>
              </w:rPr>
              <w:br/>
              <w:t>Не менее 12 млн. детей приняли участие в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iCs/>
                <w:sz w:val="24"/>
              </w:rPr>
              <w:t>Проектория</w:t>
            </w:r>
            <w:proofErr w:type="spellEnd"/>
            <w:r>
              <w:rPr>
                <w:iCs/>
                <w:sz w:val="24"/>
              </w:rPr>
              <w:t xml:space="preserve">", направленных на </w:t>
            </w:r>
            <w:r>
              <w:rPr>
                <w:i/>
                <w:iCs/>
                <w:sz w:val="24"/>
              </w:rPr>
              <w:t>раннюю профориентацию</w:t>
            </w:r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Разработаны программы открытых онлайн-уроков, реализуемых с учетом опыта и моделей образовательных онлайн платформ, в том числе "</w:t>
            </w:r>
            <w:proofErr w:type="spellStart"/>
            <w:r>
              <w:rPr>
                <w:i/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", за счет федеральной поддержки, а также "</w:t>
            </w:r>
            <w:proofErr w:type="spellStart"/>
            <w:r>
              <w:rPr>
                <w:i/>
                <w:sz w:val="24"/>
              </w:rPr>
              <w:t>Сириус</w:t>
            </w:r>
            <w:proofErr w:type="gramStart"/>
            <w:r>
              <w:rPr>
                <w:i/>
                <w:sz w:val="24"/>
              </w:rPr>
              <w:t>.О</w:t>
            </w:r>
            <w:proofErr w:type="gramEnd"/>
            <w:r>
              <w:rPr>
                <w:i/>
                <w:sz w:val="24"/>
              </w:rPr>
              <w:t>нлайн</w:t>
            </w:r>
            <w:proofErr w:type="spellEnd"/>
            <w:r>
              <w:rPr>
                <w:sz w:val="24"/>
              </w:rPr>
              <w:t xml:space="preserve">", "Уроки настоящего" и других аналогичных платформ, направленных на раннюю профессиональную ориентацию обучающихся. </w:t>
            </w:r>
            <w:r>
              <w:rPr>
                <w:sz w:val="24"/>
              </w:rPr>
              <w:br/>
              <w:t>В рамках программ проведены уроки, в которых к концу 2024 года ежегодно принимают участие не менее 12 млн. детей.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Одновременно с целью выявления и распространения лучших практик проведены ежегодные конкурсные отборы лучших открытых онлайн-</w:t>
            </w:r>
            <w:r>
              <w:rPr>
                <w:sz w:val="24"/>
              </w:rPr>
              <w:lastRenderedPageBreak/>
              <w:t xml:space="preserve">уроков, направленных на </w:t>
            </w:r>
            <w:r>
              <w:rPr>
                <w:i/>
                <w:sz w:val="24"/>
              </w:rPr>
              <w:t>раннюю профориентацию</w:t>
            </w:r>
            <w:r>
              <w:rPr>
                <w:sz w:val="24"/>
              </w:rPr>
              <w:t>, создание условий для самоопределения в выборе будущего профессионального пути, а также обеспечивающих сопровождение процесса выстраивания 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ведущих университетов, включая студентов - получателей грантов Президента Российской Федерации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br/>
              <w:t xml:space="preserve">Реализация мероприятий будет </w:t>
            </w:r>
            <w:proofErr w:type="gramStart"/>
            <w:r>
              <w:rPr>
                <w:sz w:val="24"/>
              </w:rPr>
              <w:t>осуществляться</w:t>
            </w:r>
            <w:proofErr w:type="gramEnd"/>
            <w:r>
              <w:rPr>
                <w:sz w:val="24"/>
              </w:rPr>
              <w:t xml:space="preserve"> в том числе на базе </w:t>
            </w:r>
            <w:proofErr w:type="spellStart"/>
            <w:r>
              <w:rPr>
                <w:i/>
                <w:sz w:val="24"/>
              </w:rPr>
              <w:t>предпрофильных</w:t>
            </w:r>
            <w:proofErr w:type="spellEnd"/>
            <w:r>
              <w:rPr>
                <w:i/>
                <w:sz w:val="24"/>
              </w:rPr>
              <w:t xml:space="preserve"> классов</w:t>
            </w:r>
            <w:r>
              <w:rPr>
                <w:sz w:val="24"/>
              </w:rPr>
              <w:t>.</w:t>
            </w:r>
          </w:p>
        </w:tc>
      </w:tr>
      <w:tr>
        <w:trPr>
          <w:gridAfter w:val="1"/>
          <w:wAfter w:w="236" w:type="dxa"/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1.3.</w:t>
            </w:r>
            <w:r>
              <w:rPr>
                <w:sz w:val="24"/>
              </w:rPr>
              <w:br/>
              <w:t>1.14.</w:t>
            </w:r>
            <w:r>
              <w:rPr>
                <w:sz w:val="24"/>
              </w:rPr>
              <w:br/>
              <w:t>1.25.</w:t>
            </w:r>
            <w:r>
              <w:rPr>
                <w:sz w:val="24"/>
              </w:rPr>
              <w:br/>
              <w:t>1.33.</w:t>
            </w:r>
            <w:r>
              <w:rPr>
                <w:sz w:val="24"/>
              </w:rPr>
              <w:br/>
              <w:t>1.41.</w:t>
            </w:r>
            <w:r>
              <w:rPr>
                <w:sz w:val="24"/>
              </w:rPr>
              <w:br/>
              <w:t>1.48.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200 тыс. детей </w:t>
            </w:r>
            <w:r>
              <w:rPr>
                <w:bCs/>
                <w:sz w:val="24"/>
              </w:rPr>
              <w:t xml:space="preserve">получили рекомендации по построению </w:t>
            </w:r>
            <w:r>
              <w:rPr>
                <w:bCs/>
                <w:i/>
                <w:sz w:val="24"/>
              </w:rPr>
              <w:t>индивидуального учебного плана</w:t>
            </w:r>
            <w:r>
              <w:rPr>
                <w:bCs/>
                <w:sz w:val="24"/>
              </w:rPr>
              <w:t xml:space="preserve">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будущее".</w:t>
            </w:r>
            <w:r>
              <w:rPr>
                <w:sz w:val="24"/>
              </w:rPr>
              <w:br/>
              <w:t xml:space="preserve">Не менее 300 тыс. детей получили рекомендации по построению </w:t>
            </w:r>
            <w:r>
              <w:rPr>
                <w:i/>
                <w:sz w:val="24"/>
              </w:rPr>
              <w:t>индивидуального учебного плана</w:t>
            </w:r>
            <w:r>
              <w:rPr>
                <w:sz w:val="24"/>
              </w:rPr>
              <w:t xml:space="preserve"> 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  <w:r>
              <w:rPr>
                <w:sz w:val="24"/>
              </w:rPr>
              <w:br/>
              <w:t xml:space="preserve">Не менее 400 тыс. детей получили рекомендации по построению </w:t>
            </w:r>
            <w:r>
              <w:rPr>
                <w:i/>
                <w:sz w:val="24"/>
              </w:rPr>
              <w:t>индивидуального учебного плана</w:t>
            </w:r>
            <w:r>
              <w:rPr>
                <w:sz w:val="24"/>
              </w:rPr>
              <w:t xml:space="preserve"> 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  <w:r>
              <w:rPr>
                <w:sz w:val="24"/>
              </w:rPr>
              <w:br/>
              <w:t xml:space="preserve">Не менее 550 тыс. детей получили рекомендации по построению </w:t>
            </w:r>
            <w:r>
              <w:rPr>
                <w:i/>
                <w:sz w:val="24"/>
              </w:rPr>
              <w:t xml:space="preserve">индивидуального учебного плана </w:t>
            </w:r>
            <w:r>
              <w:rPr>
                <w:sz w:val="24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  <w:r>
              <w:rPr>
                <w:sz w:val="24"/>
              </w:rPr>
              <w:br/>
              <w:t xml:space="preserve">Не менее 700 тыс. детей получили рекомендации по построению </w:t>
            </w:r>
            <w:r>
              <w:rPr>
                <w:i/>
                <w:sz w:val="24"/>
              </w:rPr>
              <w:t xml:space="preserve">индивидуального учебного плана </w:t>
            </w:r>
            <w:r>
              <w:rPr>
                <w:sz w:val="24"/>
              </w:rPr>
              <w:t xml:space="preserve">в соответствии с выбранными </w:t>
            </w:r>
            <w:r>
              <w:rPr>
                <w:sz w:val="24"/>
              </w:rPr>
              <w:lastRenderedPageBreak/>
              <w:t>профессиональными компетенциями (профессиональными областями деятельности), с учетом реализации проекта "Билет в будущее".</w:t>
            </w:r>
            <w:r>
              <w:rPr>
                <w:sz w:val="24"/>
              </w:rPr>
              <w:br/>
              <w:t xml:space="preserve">Не менее 900 тыс. детей получили рекомендации по построению </w:t>
            </w:r>
            <w:r>
              <w:rPr>
                <w:i/>
                <w:sz w:val="24"/>
              </w:rPr>
              <w:t xml:space="preserve">индивидуального учебного плана </w:t>
            </w:r>
            <w:r>
              <w:rPr>
                <w:sz w:val="24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</w:tc>
        <w:tc>
          <w:tcPr>
            <w:tcW w:w="744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 xml:space="preserve">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 </w:t>
            </w:r>
            <w:r>
              <w:rPr>
                <w:sz w:val="24"/>
              </w:rPr>
              <w:br/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использования цифровых инструментов (сводное электронное портфолио).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За счет средств федерального бюджета реализуются мероприятия в рамках реализации проекта по ранней профессиональной ориентации учащихся 6 - 11 классов общеобразовательных организаций "Билет в будущее", с охватом обучающихся 6-11 классов (нарастающим итогом с 2018 года):</w:t>
            </w:r>
            <w:r>
              <w:rPr>
                <w:sz w:val="24"/>
              </w:rPr>
              <w:br/>
              <w:t>2019 год - не менее 200 тыс. детей;</w:t>
            </w:r>
            <w:r>
              <w:rPr>
                <w:sz w:val="24"/>
              </w:rPr>
              <w:br/>
              <w:t>2020 год - не менее 300 тыс. детей;</w:t>
            </w:r>
            <w:r>
              <w:rPr>
                <w:sz w:val="24"/>
              </w:rPr>
              <w:br/>
              <w:t>2021 год - не менее 400 тыс. детей;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2022 год - не менее 550 тыс. детей;</w:t>
            </w:r>
            <w:r>
              <w:rPr>
                <w:sz w:val="24"/>
              </w:rPr>
              <w:br/>
              <w:t>2023 год - не менее 700 тыс. детей;</w:t>
            </w:r>
            <w:r>
              <w:rPr>
                <w:sz w:val="24"/>
              </w:rPr>
              <w:br/>
              <w:t>2024 год - не менее 900 тыс. детей.</w:t>
            </w:r>
            <w:r>
              <w:rPr>
                <w:sz w:val="24"/>
              </w:rPr>
              <w:br/>
              <w:t xml:space="preserve">Одновременно субъектами Российской Федерации и </w:t>
            </w:r>
            <w:r>
              <w:rPr>
                <w:sz w:val="24"/>
              </w:rPr>
              <w:lastRenderedPageBreak/>
              <w:t xml:space="preserve">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 Реализация мероприятий будет </w:t>
            </w:r>
            <w:proofErr w:type="gramStart"/>
            <w:r>
              <w:rPr>
                <w:sz w:val="24"/>
              </w:rPr>
              <w:t>осуществляться</w:t>
            </w:r>
            <w:proofErr w:type="gramEnd"/>
            <w:r>
              <w:rPr>
                <w:sz w:val="24"/>
              </w:rPr>
              <w:t xml:space="preserve"> в том числе на базе </w:t>
            </w:r>
            <w:proofErr w:type="spellStart"/>
            <w:r>
              <w:rPr>
                <w:i/>
                <w:sz w:val="24"/>
              </w:rPr>
              <w:t>предпрофильных</w:t>
            </w:r>
            <w:proofErr w:type="spellEnd"/>
            <w:r>
              <w:rPr>
                <w:i/>
                <w:sz w:val="24"/>
              </w:rPr>
              <w:t xml:space="preserve"> классов</w:t>
            </w:r>
            <w:r>
              <w:rPr>
                <w:sz w:val="24"/>
              </w:rPr>
              <w:t>.</w:t>
            </w: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1.4.</w:t>
            </w:r>
            <w:r>
              <w:rPr>
                <w:sz w:val="24"/>
              </w:rPr>
              <w:br/>
              <w:t>1.15.</w:t>
            </w:r>
            <w:r>
              <w:rPr>
                <w:sz w:val="24"/>
              </w:rPr>
              <w:br/>
              <w:t>1.27.</w:t>
            </w:r>
            <w:r>
              <w:rPr>
                <w:sz w:val="24"/>
              </w:rPr>
              <w:br/>
              <w:t>1.34.</w:t>
            </w:r>
            <w:r>
              <w:rPr>
                <w:sz w:val="24"/>
              </w:rPr>
              <w:br/>
              <w:t>1.42.</w:t>
            </w:r>
            <w:r>
              <w:rPr>
                <w:sz w:val="24"/>
              </w:rPr>
              <w:br/>
              <w:t>1.49.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ind w:right="-57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Для 330 тыс. детей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 xml:space="preserve"> не менее чем в 1000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>
              <w:rPr>
                <w:sz w:val="24"/>
              </w:rPr>
              <w:br/>
              <w:t>Для 460 тыс. детей не менее чем в 2000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>
              <w:rPr>
                <w:sz w:val="24"/>
              </w:rPr>
              <w:br/>
              <w:t>Для 585 тыс. детей не менее чем в 3000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>
              <w:rPr>
                <w:sz w:val="24"/>
              </w:rPr>
              <w:br/>
              <w:t>Для 705 тыс. детей не менее чем в 4000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>
              <w:rPr>
                <w:sz w:val="24"/>
              </w:rPr>
              <w:br/>
              <w:t>Для 825 тыс. детей не менее чем в 5000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br/>
              <w:t>Для 935 тыс. детей не менее чем в 7000 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Проведен отбор субъектов Российской Федерации на предоставление субсидий из федерального бюджета на обновление материально-технической базы (закупка средств обучения) в общеобразовательных организациях, расположенных в сельской местности, с учетом существующего регионального опыта определения уровня оснащения материально-технической базы общеобразовательных организаций, расположенных в сельской местности и поселках городского типа, для реализации программ по предмету "Физическая культура".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  <w:r>
              <w:rPr>
                <w:sz w:val="24"/>
              </w:rPr>
              <w:br/>
              <w:t xml:space="preserve">Реализованы мероприятия обновлению материально-технической базы в общеобразовательных организациях, расположенных в сельской местности. </w:t>
            </w:r>
            <w:r>
              <w:rPr>
                <w:sz w:val="24"/>
              </w:rPr>
              <w:br/>
              <w:t>К 2024 году на обновленной материально-технической базе в не менее чем 7000 общеобразовательных организациях не менее 935 тыс. детей (нарастающим итогом к 2018 году) обучаются по обновленным программам по предмету "Физическая культура", а также дополнительным общеобразовательным программам, реализуемым во внеурочное время.</w:t>
            </w: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lastRenderedPageBreak/>
              <w:t>1.5.</w:t>
            </w:r>
            <w:r>
              <w:rPr>
                <w:sz w:val="24"/>
              </w:rPr>
              <w:br/>
            </w:r>
            <w:r>
              <w:rPr>
                <w:iCs/>
                <w:sz w:val="24"/>
              </w:rPr>
              <w:t>1.16.</w:t>
            </w:r>
            <w:r>
              <w:rPr>
                <w:iCs/>
                <w:sz w:val="24"/>
              </w:rPr>
              <w:br/>
              <w:t>1.26.</w:t>
            </w:r>
            <w:r>
              <w:rPr>
                <w:iCs/>
                <w:sz w:val="24"/>
              </w:rPr>
              <w:br/>
              <w:t>1.35.</w:t>
            </w:r>
            <w:r>
              <w:rPr>
                <w:iCs/>
                <w:sz w:val="24"/>
              </w:rPr>
              <w:br/>
              <w:t>1.43.</w:t>
            </w:r>
            <w:r>
              <w:rPr>
                <w:iCs/>
                <w:sz w:val="24"/>
              </w:rPr>
              <w:br/>
              <w:t>1.50.</w:t>
            </w:r>
            <w:r>
              <w:rPr>
                <w:iCs/>
                <w:sz w:val="24"/>
              </w:rPr>
              <w:br/>
            </w:r>
            <w:r>
              <w:rPr>
                <w:iCs/>
                <w:sz w:val="24"/>
              </w:rPr>
              <w:br/>
            </w:r>
            <w:r>
              <w:rPr>
                <w:iCs/>
                <w:sz w:val="24"/>
              </w:rPr>
              <w:br/>
            </w:r>
            <w:r>
              <w:rPr>
                <w:iCs/>
                <w:sz w:val="24"/>
              </w:rPr>
              <w:br/>
            </w:r>
            <w:r>
              <w:rPr>
                <w:iCs/>
                <w:sz w:val="24"/>
              </w:rPr>
              <w:br/>
            </w:r>
            <w:r>
              <w:rPr>
                <w:iCs/>
                <w:sz w:val="24"/>
              </w:rPr>
              <w:br/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Созданы детские технопарки, в том числе за счет федеральной поддержки не менее 110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", с охватом не менее 385 тыс. детей.</w:t>
            </w:r>
            <w:r>
              <w:rPr>
                <w:sz w:val="24"/>
              </w:rPr>
              <w:br/>
              <w:t xml:space="preserve">Созданы детские технопарки, в том числе за счет федеральной поддержки не менее 135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и 50 </w:t>
            </w:r>
            <w:r>
              <w:rPr>
                <w:i/>
                <w:sz w:val="24"/>
              </w:rPr>
              <w:t>мобильных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(для детей, проживающих в сельской местности и малых городах), с охватом не менее 550 тыс. детей.</w:t>
            </w:r>
            <w:r>
              <w:rPr>
                <w:sz w:val="24"/>
              </w:rPr>
              <w:br/>
              <w:t xml:space="preserve">Созданы детские технопарки, в том числе за счет федеральной поддержки не менее 160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и 115 </w:t>
            </w:r>
            <w:r>
              <w:rPr>
                <w:i/>
                <w:sz w:val="24"/>
              </w:rPr>
              <w:t>мобильных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" (для детей, проживающих в сельской местности и малых городах), с охватом не менее 800 тыс. детей.</w:t>
            </w:r>
            <w:r>
              <w:rPr>
                <w:sz w:val="24"/>
              </w:rPr>
              <w:br/>
              <w:t xml:space="preserve">Созданы детские технопарки, в том числе за счет федеральной поддержки не менее 185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и 180 </w:t>
            </w:r>
            <w:r>
              <w:rPr>
                <w:i/>
                <w:sz w:val="24"/>
              </w:rPr>
              <w:t>мобильных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(для детей, проживающих в сельской местности и малых городах), с охватом не менее 950 тыс. детей.</w:t>
            </w:r>
            <w:r>
              <w:rPr>
                <w:sz w:val="24"/>
              </w:rPr>
              <w:br/>
              <w:t xml:space="preserve">Созданы детские технопарки, в том числе за счет федеральной поддержки не менее 210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и 250 </w:t>
            </w:r>
            <w:r>
              <w:rPr>
                <w:i/>
                <w:sz w:val="24"/>
              </w:rPr>
              <w:t>мобильных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(для детей, проживающих в сельской местности и малых городах), с охватом не менее 1,1 млн. детей.</w:t>
            </w:r>
            <w:r>
              <w:rPr>
                <w:sz w:val="24"/>
              </w:rPr>
              <w:br/>
              <w:t xml:space="preserve">Создана сеть детских технопарков, в том числе за счет федеральной поддержки не менее 245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и </w:t>
            </w:r>
            <w:r>
              <w:rPr>
                <w:i/>
                <w:sz w:val="24"/>
              </w:rPr>
              <w:t>340 мобильных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(для детей, проживающих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br/>
              <w:t>в сельской местности и малых городах), с охватом не менее 2 млн. детей</w:t>
            </w:r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 xml:space="preserve">Проведен отбор заявок субъектов Российской Федерации на предоставление субсидий из федерального бюджета на создание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".</w:t>
            </w:r>
            <w:r>
              <w:rPr>
                <w:sz w:val="24"/>
              </w:rPr>
              <w:br/>
              <w:t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  <w:r>
              <w:rPr>
                <w:sz w:val="24"/>
              </w:rPr>
              <w:br/>
              <w:t xml:space="preserve">Субъектами Российской Федерации реализованы мероприятия по созданию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в соответствии с утвержденной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целевой моделью. </w:t>
            </w:r>
            <w:r>
              <w:rPr>
                <w:sz w:val="24"/>
              </w:rPr>
              <w:br/>
              <w:t xml:space="preserve">К 2024 году будут созданы не менее 210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(нарастающим итогом к 2016 году) и 250 </w:t>
            </w:r>
            <w:r>
              <w:rPr>
                <w:i/>
                <w:sz w:val="24"/>
              </w:rPr>
              <w:t>мобильных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(для детей, проживающих в сельской местности и малых городах), с охватом не менее 1,1 млн. детей, осваивающих современные дополнительные общеобразовательные программы естественнонаучной и технической направленности.</w:t>
            </w:r>
            <w:r>
              <w:rPr>
                <w:sz w:val="24"/>
              </w:rPr>
              <w:br/>
              <w:t>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</w:t>
            </w: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proofErr w:type="gramStart"/>
            <w:r>
              <w:rPr>
                <w:sz w:val="24"/>
              </w:rPr>
              <w:t xml:space="preserve">Разработана методология сопровождения, </w:t>
            </w:r>
            <w:r>
              <w:rPr>
                <w:i/>
                <w:sz w:val="24"/>
              </w:rPr>
              <w:t>наставничества и "шефства"</w:t>
            </w:r>
            <w:r>
              <w:rPr>
                <w:sz w:val="24"/>
              </w:rPr>
              <w:t xml:space="preserve">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</w:t>
            </w:r>
            <w:proofErr w:type="gramEnd"/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Проведен анализ лучших мировых практик </w:t>
            </w:r>
            <w:r>
              <w:rPr>
                <w:i/>
                <w:sz w:val="24"/>
              </w:rPr>
              <w:t>наставничества и "шефства"</w:t>
            </w:r>
            <w:r>
              <w:rPr>
                <w:sz w:val="24"/>
              </w:rPr>
              <w:t xml:space="preserve">, а также опыта субъектов Российской Федерации.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К концу 2019 года разработана и направлена в субъекты Российской Федерации методология сопровождения, </w:t>
            </w:r>
            <w:r>
              <w:rPr>
                <w:i/>
                <w:sz w:val="24"/>
              </w:rPr>
              <w:t>наставничества и "шефства</w:t>
            </w:r>
            <w:r>
              <w:rPr>
                <w:sz w:val="24"/>
              </w:rPr>
              <w:t>"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  <w:proofErr w:type="gramEnd"/>
            <w:r>
              <w:rPr>
                <w:sz w:val="24"/>
              </w:rPr>
              <w:t xml:space="preserve"> При выявлении необходимости дополнительного нормативного регулирования указанная методология утверждается актом Правительства Российской. Федерации.</w:t>
            </w:r>
            <w:r>
              <w:rPr>
                <w:sz w:val="24"/>
              </w:rPr>
              <w:br/>
              <w:t xml:space="preserve">По итогам утверждения методологии субъектами Российской Федерации утверждаются планы мероприятий по внедрению в общеобразовательные организации методологии сопровождения, </w:t>
            </w:r>
            <w:r>
              <w:rPr>
                <w:i/>
                <w:sz w:val="24"/>
              </w:rPr>
              <w:t>наставничества и "шефства</w:t>
            </w:r>
            <w:r>
              <w:rPr>
                <w:sz w:val="24"/>
              </w:rPr>
              <w:t xml:space="preserve">"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обучающихся.</w:t>
            </w: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>1.7.</w:t>
            </w:r>
            <w:r>
              <w:rPr>
                <w:sz w:val="24"/>
              </w:rPr>
              <w:br/>
              <w:t>1.18.</w:t>
            </w:r>
            <w:r>
              <w:rPr>
                <w:sz w:val="24"/>
              </w:rPr>
              <w:br/>
            </w:r>
            <w:r>
              <w:rPr>
                <w:iCs/>
                <w:sz w:val="24"/>
              </w:rPr>
              <w:t>1.28.</w:t>
            </w:r>
            <w:r>
              <w:rPr>
                <w:iCs/>
                <w:sz w:val="24"/>
              </w:rPr>
              <w:br/>
              <w:t>1.36.</w:t>
            </w:r>
            <w:r>
              <w:rPr>
                <w:iCs/>
                <w:sz w:val="24"/>
              </w:rPr>
              <w:br/>
              <w:t>1.44.</w:t>
            </w:r>
            <w:r>
              <w:rPr>
                <w:iCs/>
                <w:sz w:val="24"/>
              </w:rPr>
              <w:br/>
              <w:t>1.53.</w:t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bCs/>
                <w:sz w:val="24"/>
              </w:rPr>
              <w:t xml:space="preserve">Не менее 34% детей с ограниченными возможностями здоровья осваивают дополнительные общеобразовательные программы,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br/>
              <w:t xml:space="preserve">Не менее 46%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br/>
              <w:t xml:space="preserve">Не менее 52%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br/>
              <w:t xml:space="preserve">Не менее 58%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br/>
              <w:t xml:space="preserve">Не менее 64% детей с ограниченными возможностями здоровья </w:t>
            </w:r>
            <w:r>
              <w:rPr>
                <w:bCs/>
                <w:sz w:val="24"/>
              </w:rPr>
              <w:lastRenderedPageBreak/>
              <w:t xml:space="preserve">обучаются по дополнительным общеобразовательным программам,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br/>
              <w:t xml:space="preserve">Не менее 70%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К 2024 году обеспечено доведение доли детей с </w:t>
            </w:r>
            <w:r>
              <w:rPr>
                <w:bCs/>
                <w:sz w:val="24"/>
              </w:rPr>
              <w:t>ограниченными возможностями здоровья</w:t>
            </w:r>
            <w:r>
              <w:rPr>
                <w:sz w:val="24"/>
              </w:rPr>
              <w:t>, охваченных программами дополнительного образования,</w:t>
            </w:r>
            <w:r>
              <w:rPr>
                <w:bCs/>
                <w:sz w:val="24"/>
              </w:rPr>
              <w:t xml:space="preserve">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 xml:space="preserve">, до 70% от общего числа детей указанной категории., </w:t>
            </w:r>
            <w:r>
              <w:rPr>
                <w:sz w:val="24"/>
              </w:rPr>
              <w:t>Субъектами Российской Федерации (органами местного самоуправления) сформированы и реализуются мероприятия (в том числе в рамках региональных проектов) по поэтапному вовлечению детей с ограниченными возможностями здоровья в дополнительное образование, в том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информационные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  <w:r>
              <w:rPr>
                <w:sz w:val="24"/>
              </w:rPr>
              <w:br/>
              <w:t xml:space="preserve">Организациями, реализующими дополнительные общеобразовательные программы, обеспечивается разработка и внедрения дополнительных </w:t>
            </w:r>
            <w:r>
              <w:rPr>
                <w:sz w:val="24"/>
              </w:rPr>
              <w:lastRenderedPageBreak/>
              <w:t xml:space="preserve">общеобразовательных программ, в том числе с использованием </w:t>
            </w:r>
            <w:r>
              <w:rPr>
                <w:i/>
                <w:sz w:val="24"/>
              </w:rPr>
              <w:t>дистанционных технологий</w:t>
            </w:r>
            <w:r>
              <w:rPr>
                <w:sz w:val="24"/>
              </w:rPr>
              <w:t>, разработанных с учетом лучших практик.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lastRenderedPageBreak/>
              <w:t>1.8.</w:t>
            </w:r>
            <w:r>
              <w:rPr>
                <w:sz w:val="24"/>
              </w:rPr>
              <w:br/>
              <w:t>1.19.</w:t>
            </w:r>
            <w:r>
              <w:rPr>
                <w:sz w:val="24"/>
              </w:rPr>
              <w:br/>
            </w:r>
            <w:r>
              <w:rPr>
                <w:iCs/>
                <w:sz w:val="24"/>
              </w:rPr>
              <w:t>1.29.</w:t>
            </w:r>
            <w:r>
              <w:rPr>
                <w:iCs/>
                <w:sz w:val="24"/>
              </w:rPr>
              <w:br/>
              <w:t>1.37.</w:t>
            </w:r>
            <w:r>
              <w:rPr>
                <w:iCs/>
                <w:sz w:val="24"/>
              </w:rPr>
              <w:br/>
              <w:t>1.45.</w:t>
            </w:r>
            <w:r>
              <w:rPr>
                <w:iCs/>
                <w:sz w:val="24"/>
              </w:rPr>
              <w:br/>
              <w:t>1.51.</w:t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Не менее чем в 10 субъектах Российской Федерации созданы </w:t>
            </w:r>
            <w:r>
              <w:rPr>
                <w:i/>
                <w:sz w:val="24"/>
              </w:rPr>
              <w:t>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</w:t>
            </w:r>
            <w:r>
              <w:rPr>
                <w:sz w:val="24"/>
              </w:rPr>
              <w:t>, с охватом не менее 5% обучающихся по образовательным программам основного и среднего общего образования в указанных субъектах Российской Федерации.</w:t>
            </w:r>
            <w:proofErr w:type="gramEnd"/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Не менее чем в 20 субъектах Российской Федерации созданы </w:t>
            </w:r>
            <w:r>
              <w:rPr>
                <w:i/>
                <w:sz w:val="24"/>
              </w:rPr>
              <w:t>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</w:t>
            </w:r>
            <w:r>
              <w:rPr>
                <w:sz w:val="24"/>
              </w:rPr>
              <w:t xml:space="preserve"> с охватом не менее 5% обучающихся по образовательным программам основного и среднего общего образования в указанных субъектах Российской Федерации.</w:t>
            </w:r>
            <w:proofErr w:type="gramEnd"/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Не менее чем в 35 субъектах Российской Федерации созданы </w:t>
            </w:r>
            <w:r>
              <w:rPr>
                <w:i/>
                <w:sz w:val="24"/>
              </w:rPr>
              <w:t>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</w:t>
            </w:r>
            <w:r>
              <w:rPr>
                <w:sz w:val="24"/>
              </w:rPr>
              <w:t xml:space="preserve"> с охватом не менее 5% обучающихся по образовательным программам основного и среднего общего образования в указанных субъектах Российской Федерации.</w:t>
            </w:r>
            <w:proofErr w:type="gramEnd"/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Не менее чем в 50 субъектах Российской Федерации созданы </w:t>
            </w:r>
            <w:r>
              <w:rPr>
                <w:i/>
                <w:sz w:val="24"/>
              </w:rPr>
              <w:t>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</w:t>
            </w:r>
            <w:r>
              <w:rPr>
                <w:sz w:val="24"/>
              </w:rPr>
              <w:t xml:space="preserve"> с охватом не менее 5% обучающихся по образовательным </w:t>
            </w:r>
            <w:r>
              <w:rPr>
                <w:sz w:val="24"/>
              </w:rPr>
              <w:lastRenderedPageBreak/>
              <w:t>программам основного и среднего общего образования в указанных субъектах Российской Федерации.</w:t>
            </w:r>
            <w:proofErr w:type="gramEnd"/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Не менее чем в 65 субъектах Российской Федерации созданы </w:t>
            </w:r>
            <w:r>
              <w:rPr>
                <w:i/>
                <w:sz w:val="24"/>
              </w:rPr>
              <w:t>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</w:t>
            </w:r>
            <w:r>
              <w:rPr>
                <w:sz w:val="24"/>
              </w:rPr>
              <w:t>, с охватом не менее 5% обучающихся по образовательным программам основного и среднего общего образования в указанных субъектах Российской Федерации.</w:t>
            </w:r>
            <w:proofErr w:type="gramEnd"/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Не менее 5% обучающихся по программам основного и среднего общего образования прошли обучение в созданных в каждом субъекте Российской Федерации </w:t>
            </w:r>
            <w:r>
              <w:rPr>
                <w:i/>
                <w:sz w:val="24"/>
              </w:rPr>
              <w:t>региональных центрах выявления, поддержки и развития способностей и талантов у детей и молодежи, функционирующих с учетом опыта Образовательного фонда "Талант и успех"</w:t>
            </w:r>
            <w:proofErr w:type="gramEnd"/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Проведен отбор заявок субъектов Российской Федерации на создание в 10 субъектах Российской Федерации региональных центров выявления, поддержки и развития способностей и талантов у детей и молодежи, функционирующих с учетом опыта Образовательного фонда "Талант и успех".</w:t>
            </w:r>
            <w:r>
              <w:rPr>
                <w:sz w:val="24"/>
              </w:rPr>
              <w:br/>
              <w:t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  <w:r>
              <w:rPr>
                <w:sz w:val="24"/>
              </w:rPr>
              <w:br/>
              <w:t xml:space="preserve">Субъектами Российской Федерации реализованы мероприятия по созданию центров выявления, поддержки и развития способностей и талантов у детей и молодежи в соответствии с утвержденной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совместно с Образовательным фондом "Талант и успех" целевой моделью. </w:t>
            </w:r>
            <w:r>
              <w:rPr>
                <w:sz w:val="24"/>
              </w:rPr>
              <w:br/>
              <w:t xml:space="preserve">К 2024 году центры созданы в каждом субъекте Российской Федерации. </w:t>
            </w:r>
            <w:proofErr w:type="gramStart"/>
            <w:r>
              <w:rPr>
                <w:sz w:val="24"/>
              </w:rPr>
              <w:t xml:space="preserve">Каждый из центров обеспечивает охват не менее 5% обучающихся по образовательным программам основного и среднего общего образования в соответствующих субъектах Российской Федерации, в том числе программами дополнительного образования детей, проводимыми на регулярной (еженедельной) основе, профильными региональными сменами, программами с применением </w:t>
            </w:r>
            <w:r>
              <w:rPr>
                <w:i/>
                <w:sz w:val="24"/>
              </w:rPr>
              <w:t>дистанционных технологий</w:t>
            </w:r>
            <w:r>
              <w:rPr>
                <w:sz w:val="24"/>
              </w:rPr>
              <w:t>, а также в центрах проводятся на регулярной основе особо значимые региональные мероприятия по выявлению выдающихся способностей и высокой</w:t>
            </w:r>
            <w:proofErr w:type="gramEnd"/>
            <w:r>
              <w:rPr>
                <w:sz w:val="24"/>
              </w:rPr>
              <w:t xml:space="preserve"> мотивации у детей и молодежи.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t>На платформе "</w:t>
            </w:r>
            <w:proofErr w:type="spellStart"/>
            <w:r>
              <w:rPr>
                <w:i/>
                <w:sz w:val="24"/>
              </w:rPr>
              <w:t>Сириус</w:t>
            </w:r>
            <w:proofErr w:type="gramStart"/>
            <w:r>
              <w:rPr>
                <w:i/>
                <w:sz w:val="24"/>
              </w:rPr>
              <w:t>.О</w:t>
            </w:r>
            <w:proofErr w:type="gramEnd"/>
            <w:r>
              <w:rPr>
                <w:i/>
                <w:sz w:val="24"/>
              </w:rPr>
              <w:t>нлайн</w:t>
            </w:r>
            <w:proofErr w:type="spellEnd"/>
            <w:r>
              <w:rPr>
                <w:sz w:val="24"/>
              </w:rPr>
              <w:t xml:space="preserve">" с использований сведений Государственного информационного ресурса о детях, проявивших выдающиеся способности, функционирует банк сводных электронных </w:t>
            </w:r>
            <w:r>
              <w:rPr>
                <w:sz w:val="24"/>
              </w:rPr>
              <w:lastRenderedPageBreak/>
              <w:t xml:space="preserve">портфолио одаренных детей, обеспечивающий основу для их дальнейшего сопровождения и построения индивидуального учебного плана. </w:t>
            </w: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lastRenderedPageBreak/>
              <w:t>1.9.</w:t>
            </w:r>
            <w:r>
              <w:rPr>
                <w:sz w:val="24"/>
              </w:rPr>
              <w:br/>
            </w:r>
            <w:r>
              <w:rPr>
                <w:iCs/>
                <w:sz w:val="24"/>
              </w:rPr>
              <w:t>1.20.</w:t>
            </w:r>
            <w:r>
              <w:rPr>
                <w:iCs/>
                <w:sz w:val="24"/>
              </w:rPr>
              <w:br/>
              <w:t>1.30.</w:t>
            </w:r>
            <w:r>
              <w:rPr>
                <w:iCs/>
                <w:sz w:val="24"/>
              </w:rPr>
              <w:br/>
              <w:t>1.38.</w:t>
            </w:r>
            <w:r>
              <w:rPr>
                <w:iCs/>
                <w:sz w:val="24"/>
              </w:rPr>
              <w:br/>
              <w:t>1.46.</w:t>
            </w:r>
            <w:r>
              <w:rPr>
                <w:iCs/>
                <w:sz w:val="24"/>
              </w:rPr>
              <w:br/>
              <w:t>1.52.</w:t>
            </w:r>
            <w:r>
              <w:rPr>
                <w:iCs/>
                <w:sz w:val="24"/>
              </w:rPr>
              <w:br/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proofErr w:type="gramStart"/>
            <w:r>
              <w:rPr>
                <w:sz w:val="24"/>
              </w:rPr>
              <w:t>Созданы ключевые центры дополнительного образования детей, в том числе не менее 15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6 тыс. детей в год, и не менее 153</w:t>
            </w:r>
            <w:proofErr w:type="gramEnd"/>
            <w:r>
              <w:rPr>
                <w:sz w:val="24"/>
              </w:rPr>
              <w:t xml:space="preserve"> мобильных технопарков "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" (для детей, проживающих в сельской местности и малых городах).</w:t>
            </w:r>
            <w:r>
              <w:rPr>
                <w:sz w:val="24"/>
              </w:rPr>
              <w:br/>
              <w:t xml:space="preserve">Созданы не менее 30 </w:t>
            </w:r>
            <w:r>
              <w:rPr>
                <w:i/>
                <w:sz w:val="24"/>
              </w:rPr>
              <w:t>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 xml:space="preserve">, в том числе участвующих в создании научных и научно-образовательных </w:t>
            </w:r>
            <w:r>
              <w:rPr>
                <w:sz w:val="24"/>
              </w:rPr>
              <w:lastRenderedPageBreak/>
              <w:t>центров мирового уровня или обеспечивающих деятельность центров компетенций Национальной технологической инициативы, с охватом не менее 12 тыс. детей в год.</w:t>
            </w:r>
            <w:r>
              <w:rPr>
                <w:sz w:val="24"/>
              </w:rPr>
              <w:br/>
              <w:t xml:space="preserve">Созданы не менее </w:t>
            </w:r>
            <w:r>
              <w:rPr>
                <w:i/>
                <w:sz w:val="24"/>
              </w:rPr>
              <w:t>45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18 тыс. детей в год.</w:t>
            </w:r>
            <w:r>
              <w:rPr>
                <w:sz w:val="24"/>
              </w:rPr>
              <w:br/>
              <w:t xml:space="preserve">Созданы не менее 60 </w:t>
            </w:r>
            <w:r>
              <w:rPr>
                <w:i/>
                <w:sz w:val="24"/>
              </w:rPr>
              <w:t>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24 тыс. детей в год.</w:t>
            </w:r>
            <w:r>
              <w:rPr>
                <w:sz w:val="24"/>
              </w:rPr>
              <w:br/>
              <w:t xml:space="preserve">Созданы не менее 75 </w:t>
            </w:r>
            <w:r>
              <w:rPr>
                <w:i/>
                <w:sz w:val="24"/>
              </w:rPr>
              <w:t>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30 тыс. детей в год.</w:t>
            </w:r>
            <w:r>
              <w:rPr>
                <w:sz w:val="24"/>
              </w:rPr>
              <w:br/>
              <w:t xml:space="preserve">Созданы не менее 100 </w:t>
            </w:r>
            <w:r>
              <w:rPr>
                <w:i/>
                <w:sz w:val="24"/>
              </w:rPr>
              <w:t>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 xml:space="preserve">, в том числе </w:t>
            </w:r>
            <w:r>
              <w:rPr>
                <w:sz w:val="24"/>
              </w:rPr>
              <w:lastRenderedPageBreak/>
              <w:t>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 тыс. детей в год</w:t>
            </w:r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Проведен отбор заявок субъектов Российской Федерации на создание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уровня, международных математических центров, выполняющих исследования и разработки по актуальным направлениям развития математики с участием российских и зарубежных ведущих ученых,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</w:rPr>
              <w:t xml:space="preserve"> или обеспечивающих деятельность центров компетенций</w:t>
            </w:r>
            <w:proofErr w:type="gramEnd"/>
            <w:r>
              <w:rPr>
                <w:sz w:val="24"/>
              </w:rPr>
              <w:t xml:space="preserve"> Национальной технологической инициативы (как структурных подразделений образовательной организации высшего образования, имеющей соответствующую лицензию на осуществление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 xml:space="preserve"> по дополнительным общеобразовательным программам для детей). </w:t>
            </w:r>
            <w:r>
              <w:rPr>
                <w:sz w:val="24"/>
              </w:rPr>
              <w:br/>
              <w:t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 xml:space="preserve">Субъектами Российской Федерации совместно с образовательными организациями высшего образования реализованы мероприятия по созданию центров в соответствии с утвержденной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целевой моделью. </w:t>
            </w:r>
            <w:r>
              <w:rPr>
                <w:sz w:val="24"/>
              </w:rPr>
              <w:br/>
              <w:t xml:space="preserve">Центры, используя возможности образовательных организаций высшего образования (кадровые, инфраструктурные, материально-технические), обеспечивают </w:t>
            </w:r>
            <w:proofErr w:type="gramStart"/>
            <w:r>
              <w:rPr>
                <w:sz w:val="24"/>
              </w:rPr>
              <w:t>обучение</w:t>
            </w:r>
            <w:proofErr w:type="gramEnd"/>
            <w:r>
              <w:rPr>
                <w:sz w:val="24"/>
              </w:rPr>
              <w:t xml:space="preserve"> детей по актуальным дополнительным общеобразовательным программам, в том числе в рамках решения кадровых задач Стратегии научно-технологического развития Российской Федерации. К реализации дополнительных общеобразовательных программ в таких центрах привлечены преподаватели и научные сотрудники образовательных организаций высшего образования. </w:t>
            </w:r>
            <w:r>
              <w:rPr>
                <w:sz w:val="24"/>
              </w:rPr>
              <w:br/>
              <w:t>К концу 2024 года создано не менее 100 центров с охватом не менее 40 тыс. детей ежегодно.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1.10.</w:t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 всех субъектах Российской Федерации внедрена </w:t>
            </w:r>
            <w:r>
              <w:rPr>
                <w:i/>
                <w:sz w:val="24"/>
              </w:rPr>
              <w:t>целевая модель развития региональных систем дополнительного образования детей</w:t>
            </w:r>
            <w:r>
              <w:rPr>
                <w:i/>
                <w:iCs/>
                <w:sz w:val="24"/>
              </w:rPr>
              <w:br/>
            </w:r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В соответствии с поручением президиума Совета при Президенте Российской Федерации по стратегическому развитию и приоритетным проектам (п. 2 протокола от 29 марта 2018 г. № 3) на основе лучших практик субъектов Российской Федерации сформирована целевая модель региональной системы дополнительного образования.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К концу 2021 года </w:t>
            </w:r>
            <w:r>
              <w:rPr>
                <w:i/>
                <w:sz w:val="24"/>
              </w:rPr>
              <w:t>целевая модель развития региональных систем дополнительного образования детей</w:t>
            </w:r>
            <w:r>
              <w:rPr>
                <w:sz w:val="24"/>
              </w:rPr>
              <w:t xml:space="preserve"> внедрена во всех субъектах Российской Федерации, в том числе за счет </w:t>
            </w:r>
            <w:proofErr w:type="spellStart"/>
            <w:r>
              <w:rPr>
                <w:sz w:val="24"/>
              </w:rPr>
              <w:t>софинансирования</w:t>
            </w:r>
            <w:proofErr w:type="spellEnd"/>
            <w:r>
              <w:rPr>
                <w:sz w:val="24"/>
              </w:rPr>
              <w:t xml:space="preserve"> из федерального бюджета и внебюджетных источников, с учетом специфики территорий и позволит создать нормативно-правовые, организационные и методические условия для развития системы дополнительного образования детей в целях достижения показателей федерального проекта.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Реализация </w:t>
            </w:r>
            <w:r>
              <w:rPr>
                <w:i/>
                <w:sz w:val="24"/>
              </w:rPr>
              <w:t>целевой модели предусматривает внедрение механизмов адресной поддержки отдельных категорий детей</w:t>
            </w:r>
            <w:r>
              <w:rPr>
                <w:sz w:val="24"/>
              </w:rPr>
              <w:t>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</w:t>
            </w:r>
            <w:proofErr w:type="gramEnd"/>
            <w:r>
              <w:rPr>
                <w:sz w:val="24"/>
              </w:rPr>
              <w:t xml:space="preserve"> сельской местности, детей из семей, находящихся в трудной жизненной ситуации, детей из малоимущих семей).</w:t>
            </w: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bCs/>
                <w:sz w:val="24"/>
              </w:rPr>
              <w:t xml:space="preserve">Проведена Международная математическая олимпиада в Санкт-Петербурге (продолжена реализация ведомственного проекта </w:t>
            </w:r>
            <w:r>
              <w:rPr>
                <w:bCs/>
                <w:sz w:val="24"/>
              </w:rPr>
              <w:lastRenderedPageBreak/>
              <w:t>"Олимпиадное движение школьников)</w:t>
            </w:r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 xml:space="preserve">Определена площадка проведения Международной математической олимпиады в Санкт-Петербурге 1 октября 2020 года. Обеспечено </w:t>
            </w:r>
            <w:r>
              <w:rPr>
                <w:sz w:val="24"/>
              </w:rPr>
              <w:lastRenderedPageBreak/>
              <w:t>участие в олимпиаде российских школьников, а также иностранных участников по результатам отборочного тура. Проведение олимпиады позволит: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t>- обеспечить позиционирование Российской Федерации на мировом уровне как ведущей страны в области преподавания математики;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t>- создать условия для развития математического образования в Российской Федерации с учетом международного опыта;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t>- совершенствовать организационные и методические условия функционирования олимпиадного движения в Российской Федерации.</w:t>
            </w:r>
            <w:r>
              <w:rPr>
                <w:sz w:val="24"/>
              </w:rPr>
              <w:br/>
              <w:t xml:space="preserve">Проведение </w:t>
            </w:r>
            <w:r>
              <w:rPr>
                <w:bCs/>
                <w:sz w:val="24"/>
              </w:rPr>
              <w:t>Международной математической олимпиады в Санкт-Петербурге является продолжением реализации мероприятий ведомственного проекта "Олимпиадное движение школьников".</w:t>
            </w: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1.17.</w:t>
            </w:r>
            <w:r>
              <w:rPr>
                <w:sz w:val="24"/>
              </w:rPr>
              <w:br/>
              <w:t>1.23.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t>1.31.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t>1.39.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t>1.54.</w:t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Не менее 2 тыс. детей и </w:t>
            </w:r>
            <w:r>
              <w:rPr>
                <w:bCs/>
                <w:i/>
                <w:sz w:val="24"/>
              </w:rPr>
              <w:t>представителей молодежи из числа иностранных граждан</w:t>
            </w:r>
            <w:r>
              <w:rPr>
                <w:bCs/>
                <w:sz w:val="24"/>
              </w:rPr>
              <w:t xml:space="preserve"> приняли участие в летних школах, организованных российскими образовательными организациями.</w:t>
            </w:r>
            <w:r>
              <w:rPr>
                <w:bCs/>
                <w:sz w:val="24"/>
              </w:rPr>
              <w:br/>
              <w:t xml:space="preserve">Не менее 5 тыс. детей и </w:t>
            </w:r>
            <w:r>
              <w:rPr>
                <w:bCs/>
                <w:i/>
                <w:sz w:val="24"/>
              </w:rPr>
              <w:t>представителей молодежи из числа иностранных граждан</w:t>
            </w:r>
            <w:r>
              <w:rPr>
                <w:bCs/>
                <w:sz w:val="24"/>
              </w:rPr>
              <w:t xml:space="preserve"> приняли участие в летних школах, организуемых российскими образовательными организациями. </w:t>
            </w:r>
            <w:r>
              <w:rPr>
                <w:bCs/>
                <w:i/>
                <w:iCs/>
                <w:sz w:val="24"/>
              </w:rPr>
              <w:br/>
            </w:r>
            <w:r>
              <w:rPr>
                <w:bCs/>
                <w:sz w:val="24"/>
              </w:rPr>
              <w:t xml:space="preserve">Не менее 8 тыс. детей и </w:t>
            </w:r>
            <w:r>
              <w:rPr>
                <w:bCs/>
                <w:i/>
                <w:sz w:val="24"/>
              </w:rPr>
              <w:t>представителей молодежи из числа иностранных граждан</w:t>
            </w:r>
            <w:r>
              <w:rPr>
                <w:bCs/>
                <w:sz w:val="24"/>
              </w:rPr>
              <w:t xml:space="preserve"> приняли участие в летних школах, реализуемых российскими образовательными организациями. </w:t>
            </w:r>
            <w:r>
              <w:rPr>
                <w:bCs/>
                <w:i/>
                <w:iCs/>
                <w:sz w:val="24"/>
              </w:rPr>
              <w:br/>
            </w:r>
            <w:r>
              <w:rPr>
                <w:bCs/>
                <w:sz w:val="24"/>
              </w:rPr>
              <w:t xml:space="preserve">Не менее 12 тыс. детей и </w:t>
            </w:r>
            <w:r>
              <w:rPr>
                <w:bCs/>
                <w:i/>
                <w:sz w:val="24"/>
              </w:rPr>
              <w:t>представителей молодежи из числа иностранных граждан</w:t>
            </w:r>
            <w:r>
              <w:rPr>
                <w:bCs/>
                <w:sz w:val="24"/>
              </w:rPr>
              <w:t xml:space="preserve"> приняли участие в летних школах, организуемых российскими образовательными организациями. </w:t>
            </w:r>
            <w:r>
              <w:rPr>
                <w:i/>
                <w:iCs/>
                <w:sz w:val="24"/>
              </w:rPr>
              <w:br/>
            </w:r>
            <w:r>
              <w:rPr>
                <w:bCs/>
                <w:sz w:val="24"/>
              </w:rPr>
              <w:t xml:space="preserve">Не менее 18 тыс. детей и </w:t>
            </w:r>
            <w:r>
              <w:rPr>
                <w:bCs/>
                <w:i/>
                <w:sz w:val="24"/>
              </w:rPr>
              <w:t>представителей молодежи из числа иностранных граждан</w:t>
            </w:r>
            <w:r>
              <w:rPr>
                <w:bCs/>
                <w:sz w:val="24"/>
              </w:rPr>
              <w:t xml:space="preserve"> приняли участие в летних школах, реализуемых российскими образовательными организациями</w:t>
            </w:r>
            <w:r>
              <w:rPr>
                <w:bCs/>
                <w:i/>
                <w:iCs/>
                <w:sz w:val="24"/>
              </w:rPr>
              <w:br/>
            </w:r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 xml:space="preserve">Проведен отбор субъектов Российской Федерации на проведение </w:t>
            </w:r>
            <w:r>
              <w:rPr>
                <w:bCs/>
                <w:sz w:val="24"/>
              </w:rPr>
              <w:t xml:space="preserve">летних школ с участием детей и </w:t>
            </w:r>
            <w:r>
              <w:rPr>
                <w:bCs/>
                <w:i/>
                <w:sz w:val="24"/>
              </w:rPr>
              <w:t>представителей молодежи из числа иностранных граждан</w:t>
            </w:r>
            <w:r>
              <w:rPr>
                <w:bCs/>
                <w:sz w:val="24"/>
              </w:rPr>
              <w:t xml:space="preserve">, организованных российскими образовательными организациями с </w:t>
            </w:r>
            <w:r>
              <w:rPr>
                <w:sz w:val="24"/>
              </w:rPr>
              <w:t>целью формирования у обучающихся навыков и компетенций, в том числе практических, соответствующих тематикам проведения летних школ.</w:t>
            </w:r>
            <w:r>
              <w:rPr>
                <w:sz w:val="24"/>
              </w:rPr>
              <w:br/>
              <w:t>Летние школы проводятся с целью поддержки инициативной и талантливой молодежи, создания особой социокультурной среды, сообществ обучающихся</w:t>
            </w:r>
            <w:r>
              <w:rPr>
                <w:bCs/>
                <w:sz w:val="24"/>
              </w:rPr>
              <w:t>, их проведение обеспечит продвижение лучших российских образовательных проектов в мировом сообществе, а также создаст благоприятные условия для повышения уровня глобальной конкурентоспособности российского образования.</w:t>
            </w:r>
            <w:r>
              <w:rPr>
                <w:bCs/>
                <w:sz w:val="24"/>
              </w:rPr>
              <w:br/>
            </w:r>
            <w:proofErr w:type="gramStart"/>
            <w:r>
              <w:rPr>
                <w:bCs/>
                <w:sz w:val="24"/>
              </w:rPr>
              <w:t>Организация и проведение летних школ обеспечит вовлечение детей и молодежи из числа иностранных граждан, в том числе:</w:t>
            </w:r>
            <w:r>
              <w:rPr>
                <w:bCs/>
                <w:sz w:val="24"/>
              </w:rPr>
              <w:br/>
              <w:t>в 2020 году - 2 тыс. человек;</w:t>
            </w:r>
            <w:r>
              <w:rPr>
                <w:bCs/>
                <w:sz w:val="24"/>
              </w:rPr>
              <w:br/>
              <w:t>в 2021 году - 5 тыс. человек;</w:t>
            </w:r>
            <w:r>
              <w:rPr>
                <w:bCs/>
                <w:sz w:val="24"/>
              </w:rPr>
              <w:br/>
              <w:t>в 2022 году - 8 тыс. человек;</w:t>
            </w:r>
            <w:r>
              <w:rPr>
                <w:bCs/>
                <w:sz w:val="24"/>
              </w:rPr>
              <w:br/>
              <w:t>в 2023 году - 12 тыс. человек;</w:t>
            </w:r>
            <w:r>
              <w:rPr>
                <w:bCs/>
                <w:sz w:val="24"/>
              </w:rPr>
              <w:br/>
            </w:r>
            <w:r>
              <w:rPr>
                <w:bCs/>
                <w:sz w:val="24"/>
              </w:rPr>
              <w:lastRenderedPageBreak/>
              <w:t>в 2024 году - 18 тыс. человек.</w:t>
            </w:r>
            <w:proofErr w:type="gramEnd"/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1.21.</w:t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Создана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>
              <w:rPr>
                <w:bCs/>
                <w:sz w:val="24"/>
              </w:rPr>
              <w:t>объединений</w:t>
            </w:r>
            <w:r>
              <w:rPr>
                <w:sz w:val="24"/>
              </w:rPr>
              <w:t xml:space="preserve"> в целях участия представителей работодателей в принятии решений по вопросам управления развитием образовательной организации, в том числе обновления образовательных программ</w:t>
            </w:r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Создание к концу 2020 года целевой модели функционирования коллегиальных органов управления развитием организации,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>
              <w:rPr>
                <w:bCs/>
                <w:sz w:val="24"/>
              </w:rPr>
              <w:t>объединений</w:t>
            </w:r>
            <w:r>
              <w:rPr>
                <w:sz w:val="24"/>
              </w:rPr>
              <w:t xml:space="preserve"> и представителей работодателей позволит: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экономики, в управлении деятельностью образовательных организаций;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деятельности.</w:t>
            </w: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1.55.</w:t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i/>
                <w:iCs/>
                <w:sz w:val="24"/>
              </w:rPr>
            </w:pPr>
            <w:r>
              <w:rPr>
                <w:sz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</w:t>
            </w:r>
            <w:r>
              <w:rPr>
                <w:i/>
                <w:sz w:val="24"/>
              </w:rPr>
              <w:t>наставничества и "шефства"</w:t>
            </w:r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proofErr w:type="gramStart"/>
            <w:r>
              <w:rPr>
                <w:sz w:val="24"/>
              </w:rPr>
              <w:t xml:space="preserve">Вовлечение к концу 2024 года не менее 70%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 и </w:t>
            </w:r>
            <w:r>
              <w:rPr>
                <w:i/>
                <w:sz w:val="24"/>
              </w:rPr>
              <w:t xml:space="preserve">наставничества </w:t>
            </w:r>
            <w:r>
              <w:rPr>
                <w:sz w:val="24"/>
              </w:rPr>
              <w:t>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"Образование"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</w:t>
            </w:r>
            <w:proofErr w:type="gramEnd"/>
            <w:r>
              <w:rPr>
                <w:sz w:val="24"/>
              </w:rPr>
              <w:t xml:space="preserve"> национально-культурных традиций.</w:t>
            </w:r>
          </w:p>
        </w:tc>
      </w:tr>
      <w:tr>
        <w:trPr>
          <w:trHeight w:val="20"/>
        </w:trPr>
        <w:tc>
          <w:tcPr>
            <w:tcW w:w="10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1.56.</w:t>
            </w:r>
          </w:p>
        </w:tc>
        <w:tc>
          <w:tcPr>
            <w:tcW w:w="721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i/>
                <w:i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 </w:t>
            </w:r>
            <w:proofErr w:type="gramEnd"/>
          </w:p>
        </w:tc>
        <w:tc>
          <w:tcPr>
            <w:tcW w:w="768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bCs/>
                <w:sz w:val="24"/>
              </w:rPr>
              <w:t xml:space="preserve">Внесены изменения в нормативно-правую базу с целью </w:t>
            </w:r>
            <w:proofErr w:type="gramStart"/>
            <w:r>
              <w:rPr>
                <w:bCs/>
                <w:sz w:val="24"/>
              </w:rPr>
              <w:t>предоставления возможностей зачета результатов освоения</w:t>
            </w:r>
            <w:proofErr w:type="gramEnd"/>
            <w:r>
              <w:rPr>
                <w:bCs/>
                <w:sz w:val="24"/>
              </w:rPr>
              <w:t xml:space="preserve"> обучающимися дополнительных общеобразовательных программ и программ профессионального обучения в рамках основных общеобразовательных программ. </w:t>
            </w:r>
            <w:r>
              <w:rPr>
                <w:bCs/>
                <w:sz w:val="24"/>
              </w:rPr>
              <w:br/>
              <w:t>Перечень нормативно-правовых актов, подлежащих изменению, определяется на начальном этапе реализации проекта.</w:t>
            </w:r>
            <w:r>
              <w:rPr>
                <w:bCs/>
                <w:sz w:val="24"/>
              </w:rPr>
              <w:br/>
            </w:r>
            <w:proofErr w:type="gramStart"/>
            <w:r>
              <w:rPr>
                <w:bCs/>
                <w:sz w:val="24"/>
              </w:rPr>
              <w:lastRenderedPageBreak/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 xml:space="preserve">, позволит </w:t>
            </w:r>
            <w:r>
              <w:rPr>
                <w:sz w:val="24"/>
              </w:rPr>
              <w:t xml:space="preserve">к концу 2024 года </w:t>
            </w:r>
            <w:r>
              <w:rPr>
                <w:bCs/>
                <w:sz w:val="24"/>
              </w:rPr>
              <w:t>создать для обучающихся 5-11 классов эффективные и "гибкие" механизмы освоения указанных программ, которые обеспечат оптимизацию учебного времени обучающихся, высвободив его для мероприятий по</w:t>
            </w:r>
            <w:proofErr w:type="gramEnd"/>
            <w:r>
              <w:rPr>
                <w:bCs/>
                <w:sz w:val="24"/>
              </w:rPr>
              <w:t xml:space="preserve"> саморазвитию и профессиональному самоопределению.</w:t>
            </w:r>
          </w:p>
        </w:tc>
      </w:tr>
    </w:tbl>
    <w:p>
      <w:pPr>
        <w:spacing w:line="240" w:lineRule="atLeast"/>
        <w:jc w:val="center"/>
      </w:pPr>
      <w:r>
        <w:lastRenderedPageBreak/>
        <w:br w:type="page"/>
      </w:r>
      <w:r>
        <w:lastRenderedPageBreak/>
        <w:t>4. Финансовое обеспечение реализации федерального проекта</w:t>
      </w:r>
    </w:p>
    <w:p>
      <w:pPr>
        <w:spacing w:line="240" w:lineRule="atLeast"/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85"/>
        <w:gridCol w:w="4863"/>
        <w:gridCol w:w="1306"/>
        <w:gridCol w:w="1595"/>
        <w:gridCol w:w="1451"/>
        <w:gridCol w:w="1450"/>
        <w:gridCol w:w="1306"/>
        <w:gridCol w:w="1306"/>
        <w:gridCol w:w="1560"/>
      </w:tblGrid>
      <w:tr>
        <w:trPr>
          <w:trHeight w:val="20"/>
          <w:tblHeader/>
        </w:trPr>
        <w:tc>
          <w:tcPr>
            <w:tcW w:w="1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 и источники финансирования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Всего,</w:t>
            </w:r>
            <w:r>
              <w:rPr>
                <w:sz w:val="22"/>
              </w:rPr>
              <w:br/>
              <w:t>(млн. рублей)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0"/>
          <w:tblHeader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</w:p>
        </w:tc>
      </w:tr>
      <w:tr>
        <w:tblPrEx>
          <w:tblLook w:val="0000" w:firstRow="0" w:lastRow="0" w:firstColumn="0" w:lastColumn="0" w:noHBand="0" w:noVBand="0"/>
        </w:tblPrEx>
        <w:trPr>
          <w:trHeight w:val="20"/>
          <w:tblHeader/>
        </w:trPr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86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2"/>
              </w:rPr>
            </w:pPr>
          </w:p>
        </w:tc>
      </w:tr>
      <w:tr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Создано не менее 900 новых мест</w:t>
            </w:r>
            <w:r>
              <w:rPr>
                <w:sz w:val="22"/>
              </w:rPr>
              <w:br/>
              <w:t xml:space="preserve">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979,6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2 497,6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2 587,6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6 064,8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970,00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2 450,00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2 540,00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5 960,0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1.1.1.1.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950,00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2 380,00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2 380,00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5 710,00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1.1.2.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1.1.2.1.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1.1.3.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104,8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1.1.3.1.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104,8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1.1.4.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Не менее чем 10 млн. детей приняли участие в открытых онлайн-уроках, реализуемых с учетом опыта цикла открытых уроков "</w:t>
            </w:r>
            <w:proofErr w:type="spellStart"/>
            <w:r>
              <w:rPr>
                <w:sz w:val="22"/>
              </w:rPr>
              <w:t>Проектория</w:t>
            </w:r>
            <w:proofErr w:type="spellEnd"/>
            <w:r>
              <w:rPr>
                <w:sz w:val="22"/>
              </w:rPr>
              <w:t>", направленных на раннюю профориентацию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480,0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1.2.1.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480,0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1.2.1.1.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1.2.2.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1.2.2.1.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1.2.3.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1.2.3.1.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1.2.4.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Не менее 400 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будущее)</w:t>
            </w:r>
            <w:proofErr w:type="gramEnd"/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br/>
              <w:t>1 000,0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br/>
              <w:t>1 000,0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br/>
              <w:t>1 000,0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br/>
              <w:t>1 500,0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br/>
              <w:t>1 500,0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br/>
              <w:t>2 000,0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br/>
              <w:t>8 000,0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1.3.1.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1 500,0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1 500,0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2 000,0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8 000,0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1.3.1.1.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1.3.2.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1.3.2.1.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1.3.3.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1.3.3.1.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1.3.4.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1.4.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Для 585 тыс. детей не менее чем в 3000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1 661,6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1 484,1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1 484,1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1 484,1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1 484,1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1 484,1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9 082,1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1.4.1.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1 455,0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1 455,0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1 455,0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1 455,0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1 455,0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1 455,0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8 730,0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1.4.1.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1 455,0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1 455,0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1 455,0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1 455,0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1 455,0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1 455,0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8 730,0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1.4.2.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1.4.2.1.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1.4.3.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206,6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352,1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1.4.3.1.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206,6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352,1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1.4.4.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Созданы детские технопарки, в том числе за счет федеральной поддержки не менее 135 детских технопарков "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 xml:space="preserve">" 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2 549,3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2 494,9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2 497,5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2 377,5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2 377,5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2 377,5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14 774,2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1.5.1.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2 050,04</w:t>
            </w:r>
            <w:r>
              <w:rPr>
                <w:sz w:val="22"/>
              </w:rPr>
              <w:br/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2 120,13</w:t>
            </w:r>
            <w:r>
              <w:rPr>
                <w:sz w:val="22"/>
              </w:rPr>
              <w:br/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2 122,31</w:t>
            </w:r>
            <w:r>
              <w:rPr>
                <w:sz w:val="22"/>
              </w:rPr>
              <w:br/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2 002,31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2 002,31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2 002,31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12 299,40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1.5.1.1.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1 740,0</w:t>
            </w:r>
            <w:r>
              <w:rPr>
                <w:sz w:val="22"/>
              </w:rPr>
              <w:br/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1 740,0</w:t>
            </w:r>
            <w:r>
              <w:rPr>
                <w:sz w:val="22"/>
              </w:rPr>
              <w:br/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1 740,0</w:t>
            </w:r>
            <w:r>
              <w:rPr>
                <w:sz w:val="22"/>
              </w:rPr>
              <w:br/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1 740,0</w:t>
            </w:r>
            <w:r>
              <w:rPr>
                <w:sz w:val="22"/>
              </w:rPr>
              <w:br/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1 740,0</w:t>
            </w:r>
            <w:r>
              <w:rPr>
                <w:sz w:val="22"/>
              </w:rPr>
              <w:br/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1 740,0</w:t>
            </w:r>
            <w:r>
              <w:rPr>
                <w:sz w:val="22"/>
              </w:rPr>
              <w:br/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10 440,0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1.5.2.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1.5.2.1.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1.5.3.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159,3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333,3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1.5.3.1.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159,3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333,3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1.5.4.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340,4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340,4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340,4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340,4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2 041,6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Созданы 50 мобильных технопарков "</w:t>
            </w:r>
            <w:proofErr w:type="spellStart"/>
            <w:r>
              <w:rPr>
                <w:sz w:val="22"/>
              </w:rPr>
              <w:t>Кванториум</w:t>
            </w:r>
            <w:proofErr w:type="spellEnd"/>
            <w:r>
              <w:rPr>
                <w:sz w:val="22"/>
              </w:rPr>
              <w:t>" (для детей, проживающих в сельской местности и малых городах), с охватом не менее 550 тыс. детей.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Создано не менее 45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18 тыс. детей в год (пункт паспорта НПО № 1.9)</w:t>
            </w:r>
            <w:proofErr w:type="gramEnd"/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412,44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1 595,10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1 595,10,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1 200,00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1 200,0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1 200,0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7 883,0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1.6.1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340,0</w:t>
            </w:r>
            <w:r>
              <w:rPr>
                <w:sz w:val="22"/>
              </w:rPr>
              <w:br/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1 340,0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1 340,0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1 200,0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1 200,0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1 200,0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6 620,0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1.6.1.2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280,0</w:t>
            </w:r>
            <w:r>
              <w:rPr>
                <w:sz w:val="22"/>
              </w:rPr>
              <w:br/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1 280,0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1 280,0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1 140,0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1 140,0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1 140,0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6 260,0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1.6.2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1.6.2.1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  <w:r>
              <w:rPr>
                <w:sz w:val="22"/>
              </w:rPr>
              <w:br/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1.6.3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25,6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25,6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141,0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1.6.3.1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25,6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25,6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141,0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1.6.4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51,0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229,5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229,5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204,0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204,0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204,0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1 122,0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line="240" w:lineRule="atLeast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Разработана методология сопровождения, </w:t>
            </w:r>
            <w:r>
              <w:rPr>
                <w:bCs/>
                <w:i/>
                <w:sz w:val="22"/>
              </w:rPr>
              <w:t>наставничества и "шефства"</w:t>
            </w:r>
            <w:r>
              <w:rPr>
                <w:bCs/>
                <w:sz w:val="22"/>
              </w:rPr>
              <w:t xml:space="preserve"> для обучающихся организаций, осуществляющих образовательную деятельность </w:t>
            </w:r>
            <w:proofErr w:type="gramStart"/>
            <w:r>
              <w:rPr>
                <w:bCs/>
                <w:sz w:val="22"/>
              </w:rPr>
              <w:t>по</w:t>
            </w:r>
            <w:proofErr w:type="gramEnd"/>
            <w:r>
              <w:rPr>
                <w:bCs/>
                <w:sz w:val="22"/>
              </w:rPr>
              <w:t xml:space="preserve"> дополнительным</w:t>
            </w:r>
          </w:p>
          <w:p>
            <w:pPr>
              <w:spacing w:line="240" w:lineRule="atLeast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Создана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развитием образовательной организацией, в том числе обновления образовательных программ</w:t>
            </w:r>
          </w:p>
          <w:p>
            <w:pPr>
              <w:spacing w:after="120" w:line="240" w:lineRule="atLeast"/>
              <w:jc w:val="left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  <w:proofErr w:type="gramEnd"/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95,9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95,90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95,9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95,9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95,9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559,50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1.7.1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95,9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95,90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95,9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95,9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95,9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559,50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1.7.1.1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1.7.2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sz w:val="22"/>
              </w:rPr>
            </w:pPr>
            <w:r>
              <w:rPr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1.7.2.1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1.7.3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sz w:val="22"/>
              </w:rPr>
            </w:pPr>
            <w:r>
              <w:rPr>
                <w:sz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1.7.3.1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1.7.4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внебюджетные источники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bCs/>
                <w:sz w:val="22"/>
              </w:rPr>
              <w:t xml:space="preserve">Не менее 52% детей с ограниченными возможностями здоровья осваивают дополнительные общеобразовательные программы, в том числе с использованием </w:t>
            </w:r>
            <w:r>
              <w:rPr>
                <w:bCs/>
                <w:i/>
                <w:sz w:val="22"/>
              </w:rPr>
              <w:t>дистанционных технологий.</w:t>
            </w:r>
            <w:r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br/>
              <w:t xml:space="preserve">Не менее 5 тыс.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организациями. </w:t>
            </w:r>
            <w:r>
              <w:rPr>
                <w:bCs/>
                <w:sz w:val="22"/>
              </w:rPr>
              <w:br/>
              <w:t xml:space="preserve">Во всех субъектах Российской Федерации внедрена </w:t>
            </w:r>
            <w:r>
              <w:rPr>
                <w:bCs/>
                <w:i/>
                <w:sz w:val="22"/>
              </w:rPr>
              <w:t>целевая модель развития региональных систем дополнительного образования детей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323,91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315,73</w:t>
            </w:r>
            <w:r>
              <w:rPr>
                <w:sz w:val="22"/>
              </w:rPr>
              <w:br/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315,73</w:t>
            </w:r>
            <w:r>
              <w:rPr>
                <w:sz w:val="22"/>
              </w:rPr>
              <w:br/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315,73</w:t>
            </w:r>
            <w:r>
              <w:rPr>
                <w:sz w:val="22"/>
              </w:rPr>
              <w:br/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315,73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315,73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1 902,56</w:t>
            </w:r>
            <w:r>
              <w:rPr>
                <w:sz w:val="22"/>
              </w:rPr>
              <w:br/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1.8.1.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24,6</w:t>
            </w:r>
            <w:r>
              <w:rPr>
                <w:sz w:val="22"/>
              </w:rPr>
              <w:br/>
              <w:t>36,6</w:t>
            </w:r>
            <w:r>
              <w:rPr>
                <w:sz w:val="22"/>
              </w:rPr>
              <w:br/>
              <w:t>30,8</w:t>
            </w:r>
            <w:r>
              <w:rPr>
                <w:sz w:val="22"/>
              </w:rPr>
              <w:br/>
              <w:t>220,0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33,4</w:t>
            </w:r>
            <w:r>
              <w:rPr>
                <w:sz w:val="22"/>
              </w:rPr>
              <w:br/>
              <w:t>33,4</w:t>
            </w:r>
            <w:r>
              <w:rPr>
                <w:sz w:val="22"/>
              </w:rPr>
              <w:br/>
              <w:t>33,4</w:t>
            </w:r>
            <w:r>
              <w:rPr>
                <w:sz w:val="22"/>
              </w:rPr>
              <w:br/>
              <w:t>211,50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  <w:r>
              <w:rPr>
                <w:sz w:val="22"/>
              </w:rPr>
              <w:br/>
              <w:t>33,3</w:t>
            </w:r>
            <w:r>
              <w:rPr>
                <w:sz w:val="22"/>
              </w:rPr>
              <w:br/>
              <w:t>33,3</w:t>
            </w:r>
            <w:r>
              <w:rPr>
                <w:sz w:val="22"/>
              </w:rPr>
              <w:br/>
              <w:t>211,50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  <w:r>
              <w:rPr>
                <w:sz w:val="22"/>
              </w:rPr>
              <w:br/>
              <w:t>33,3</w:t>
            </w:r>
            <w:r>
              <w:rPr>
                <w:sz w:val="22"/>
              </w:rPr>
              <w:br/>
              <w:t>33,3</w:t>
            </w:r>
            <w:r>
              <w:rPr>
                <w:sz w:val="22"/>
              </w:rPr>
              <w:br/>
              <w:t>211,50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  <w:r>
              <w:rPr>
                <w:sz w:val="22"/>
              </w:rPr>
              <w:br/>
              <w:t>33,3</w:t>
            </w:r>
            <w:r>
              <w:rPr>
                <w:sz w:val="22"/>
              </w:rPr>
              <w:br/>
              <w:t>33,3</w:t>
            </w:r>
            <w:r>
              <w:rPr>
                <w:sz w:val="22"/>
              </w:rPr>
              <w:br/>
              <w:t>211,50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  <w:r>
              <w:rPr>
                <w:sz w:val="22"/>
              </w:rPr>
              <w:br/>
              <w:t>33,3</w:t>
            </w:r>
            <w:r>
              <w:rPr>
                <w:sz w:val="22"/>
              </w:rPr>
              <w:br/>
              <w:t>33,3</w:t>
            </w:r>
            <w:r>
              <w:rPr>
                <w:sz w:val="22"/>
              </w:rPr>
              <w:br/>
              <w:t>211,50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191,2</w:t>
            </w:r>
            <w:r>
              <w:rPr>
                <w:sz w:val="22"/>
              </w:rPr>
              <w:br/>
              <w:t>203,2</w:t>
            </w:r>
            <w:r>
              <w:rPr>
                <w:sz w:val="22"/>
              </w:rPr>
              <w:br/>
              <w:t>197,4</w:t>
            </w:r>
            <w:r>
              <w:rPr>
                <w:sz w:val="22"/>
              </w:rPr>
              <w:br/>
              <w:t>1277,50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1.8.1.1.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1.8.2.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1.8.2.1.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1.8.3.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11,91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4,23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4,23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4,23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4,23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4,23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33,06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1.8.3.1.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1.8.4.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1.9.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Не менее чем в 35 субъектах Российской Федерации созданы 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 с охватом не менее 5% обучающихся по образовательным программам основного и среднего общего образования в указанных субъектах Российской Федерации</w:t>
            </w:r>
            <w:proofErr w:type="gramEnd"/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3 491,60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3 426,40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5 272,60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5 332,60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5 332,60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6 832,0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29 687,80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1.9.1.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3 3</w:t>
            </w:r>
            <w:r>
              <w:rPr>
                <w:sz w:val="22"/>
              </w:rPr>
              <w:t>60,0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3 3</w:t>
            </w:r>
            <w:r>
              <w:rPr>
                <w:sz w:val="22"/>
              </w:rPr>
              <w:t>6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5 170,0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5 230,0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5 230,0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6 700,0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29 050,0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1.9.1.1.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3 320</w:t>
            </w:r>
            <w:r>
              <w:rPr>
                <w:sz w:val="22"/>
              </w:rPr>
              <w:t>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3 320</w:t>
            </w:r>
            <w:r>
              <w:rPr>
                <w:sz w:val="22"/>
              </w:rPr>
              <w:t>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5 130,0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5 130,0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5 130,0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6 600,0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28 630,0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1.9.2.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1.9.2.1.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1.9.3.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131,6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66,4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102,6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102,6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102,6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132,0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637,8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1.9.3.1.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131,6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66,4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102,6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102,6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102,6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132,0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637,8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1.9.4.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1.10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Проведена Международная математическая олимпиада в Санкт-Петербурге (продолжена реализация ведомственного проекта "Олимпиадное движение школьников)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209,3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421,1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301,1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301,1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301,1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301,1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1 834,8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1.10.1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209,3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421,1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301,1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301,1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301,1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301,1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1 834,8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1.10.1.1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1.10.2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1.10.2.1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1.10.3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1.10.3.1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бюджету (</w:t>
            </w:r>
            <w:proofErr w:type="spellStart"/>
            <w:r>
              <w:rPr>
                <w:i/>
                <w:sz w:val="22"/>
              </w:rPr>
              <w:t>ам</w:t>
            </w:r>
            <w:proofErr w:type="spellEnd"/>
            <w:r>
              <w:rPr>
                <w:i/>
                <w:sz w:val="22"/>
              </w:rPr>
              <w:t>) 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10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1.10.4</w:t>
            </w:r>
          </w:p>
        </w:tc>
        <w:tc>
          <w:tcPr>
            <w:tcW w:w="486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5948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Всего по федеральному проекту, в том числе: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10 787,8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13 411,0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15 229,6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13 003,7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13 003,7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15 083,2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80 519,15</w:t>
            </w:r>
          </w:p>
        </w:tc>
      </w:tr>
      <w:tr>
        <w:trPr>
          <w:trHeight w:val="20"/>
        </w:trPr>
        <w:tc>
          <w:tcPr>
            <w:tcW w:w="5948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9 856,4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12 633,7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14 415,9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12 265,8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12 265,8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14 315,9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75 753,50</w:t>
            </w:r>
          </w:p>
        </w:tc>
      </w:tr>
      <w:tr>
        <w:trPr>
          <w:trHeight w:val="20"/>
        </w:trPr>
        <w:tc>
          <w:tcPr>
            <w:tcW w:w="5948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из них межбюджетные трансферты бюджет</w:t>
            </w:r>
            <w:proofErr w:type="gramStart"/>
            <w:r>
              <w:rPr>
                <w:i/>
                <w:iCs/>
                <w:sz w:val="22"/>
              </w:rPr>
              <w:t>у(</w:t>
            </w:r>
            <w:proofErr w:type="spellStart"/>
            <w:proofErr w:type="gramEnd"/>
            <w:r>
              <w:rPr>
                <w:i/>
                <w:iCs/>
                <w:sz w:val="22"/>
              </w:rPr>
              <w:t>ам</w:t>
            </w:r>
            <w:proofErr w:type="spellEnd"/>
            <w:r>
              <w:rPr>
                <w:i/>
                <w:iCs/>
                <w:sz w:val="22"/>
              </w:rPr>
              <w:t>) (указывается наименование)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7 965,0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10 386,5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12 196.5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9 676,5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9 676,5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11 146,5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61 047,50</w:t>
            </w:r>
          </w:p>
        </w:tc>
      </w:tr>
      <w:tr>
        <w:trPr>
          <w:trHeight w:val="20"/>
        </w:trPr>
        <w:tc>
          <w:tcPr>
            <w:tcW w:w="5948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бюджеты государственных внебюджетных фондов </w:t>
            </w:r>
            <w:proofErr w:type="gramStart"/>
            <w:r>
              <w:rPr>
                <w:sz w:val="22"/>
              </w:rPr>
              <w:t>Российской</w:t>
            </w:r>
            <w:proofErr w:type="gramEnd"/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5948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из них межбюджетные трансферты бюджет</w:t>
            </w:r>
            <w:proofErr w:type="gramStart"/>
            <w:r>
              <w:rPr>
                <w:i/>
                <w:iCs/>
                <w:sz w:val="22"/>
              </w:rPr>
              <w:t>у(</w:t>
            </w:r>
            <w:proofErr w:type="spellStart"/>
            <w:proofErr w:type="gramEnd"/>
            <w:r>
              <w:rPr>
                <w:i/>
                <w:iCs/>
                <w:sz w:val="22"/>
              </w:rPr>
              <w:t>ам</w:t>
            </w:r>
            <w:proofErr w:type="spellEnd"/>
            <w:r>
              <w:rPr>
                <w:i/>
                <w:iCs/>
                <w:sz w:val="22"/>
              </w:rPr>
              <w:t>) (указывается наименование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20"/>
        </w:trPr>
        <w:tc>
          <w:tcPr>
            <w:tcW w:w="5948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2"/>
              </w:rPr>
            </w:pPr>
            <w:r>
              <w:rPr>
                <w:sz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540,4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207,8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243,9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193,5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193,5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222,9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1 602,05</w:t>
            </w:r>
          </w:p>
        </w:tc>
      </w:tr>
      <w:tr>
        <w:trPr>
          <w:trHeight w:val="20"/>
        </w:trPr>
        <w:tc>
          <w:tcPr>
            <w:tcW w:w="5948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из них межбюджетные трансферты бюджет</w:t>
            </w:r>
            <w:proofErr w:type="gramStart"/>
            <w:r>
              <w:rPr>
                <w:i/>
                <w:iCs/>
                <w:sz w:val="22"/>
              </w:rPr>
              <w:t>у(</w:t>
            </w:r>
            <w:proofErr w:type="spellStart"/>
            <w:proofErr w:type="gramEnd"/>
            <w:r>
              <w:rPr>
                <w:i/>
                <w:iCs/>
                <w:sz w:val="22"/>
              </w:rPr>
              <w:t>ам</w:t>
            </w:r>
            <w:proofErr w:type="spellEnd"/>
            <w:r>
              <w:rPr>
                <w:i/>
                <w:iCs/>
                <w:sz w:val="22"/>
              </w:rPr>
              <w:t>) (указывается наименование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540,4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207,8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243,9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193,5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193,5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222,9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1 602,05</w:t>
            </w:r>
          </w:p>
        </w:tc>
      </w:tr>
      <w:tr>
        <w:trPr>
          <w:trHeight w:val="20"/>
        </w:trPr>
        <w:tc>
          <w:tcPr>
            <w:tcW w:w="5948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iCs/>
                <w:sz w:val="22"/>
              </w:rPr>
            </w:pPr>
            <w:r>
              <w:rPr>
                <w:sz w:val="22"/>
              </w:rPr>
              <w:lastRenderedPageBreak/>
              <w:t>внебюджетные источники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391,0</w:t>
            </w:r>
          </w:p>
        </w:tc>
        <w:tc>
          <w:tcPr>
            <w:tcW w:w="159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569,5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569,8</w:t>
            </w:r>
          </w:p>
        </w:tc>
        <w:tc>
          <w:tcPr>
            <w:tcW w:w="145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544,4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544,4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544,4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3 163,5</w:t>
            </w:r>
          </w:p>
        </w:tc>
      </w:tr>
    </w:tbl>
    <w:p>
      <w:pPr>
        <w:spacing w:line="240" w:lineRule="atLeast"/>
      </w:pPr>
    </w:p>
    <w:p>
      <w:pPr>
        <w:spacing w:line="240" w:lineRule="atLeast"/>
        <w:jc w:val="center"/>
      </w:pPr>
      <w:r>
        <w:br w:type="page"/>
      </w:r>
      <w:r>
        <w:lastRenderedPageBreak/>
        <w:t>5. Участники федерального проекта</w:t>
      </w:r>
    </w:p>
    <w:p>
      <w:pPr>
        <w:spacing w:line="240" w:lineRule="atLeas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4536"/>
        <w:gridCol w:w="3685"/>
        <w:gridCol w:w="1497"/>
      </w:tblGrid>
      <w:tr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Роль в проекте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Фамилия инициалы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Непосредственный руководитель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Занятость в проекте (процентов)</w:t>
            </w:r>
          </w:p>
        </w:tc>
      </w:tr>
      <w:tr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М.Н.Ракова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Министра просвещения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О.Ю.Васильева</w:t>
            </w:r>
            <w:proofErr w:type="spellEnd"/>
            <w:r>
              <w:rPr>
                <w:sz w:val="24"/>
              </w:rPr>
              <w:t>, Министр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Общие организационные мероприятия по проекту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</w:t>
            </w:r>
            <w:r>
              <w:rPr>
                <w:sz w:val="24"/>
              </w:rPr>
              <w:br/>
              <w:t>Министра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А.Е.Тимкин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 xml:space="preserve">", направленных на </w:t>
            </w:r>
            <w:r>
              <w:rPr>
                <w:i/>
                <w:sz w:val="24"/>
              </w:rPr>
              <w:t>раннюю профориентацию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А.Е.Тимкин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 xml:space="preserve"> проекта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Общероссийская общественная организация "Российский союз промышленников и предпринимателей"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В.Ю.Сурвилло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Президента Общероссийской общественной </w:t>
            </w:r>
            <w:r>
              <w:rPr>
                <w:sz w:val="24"/>
              </w:rPr>
              <w:br/>
              <w:t>организации "Деловая Россия"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 xml:space="preserve"> проекта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Общероссийская общественная организация малого и среднего предпринимательства "Опора России"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Построение </w:t>
            </w:r>
            <w:r>
              <w:rPr>
                <w:i/>
                <w:sz w:val="24"/>
              </w:rPr>
              <w:t xml:space="preserve">индивидуального учебного плана </w:t>
            </w:r>
            <w:r>
              <w:rPr>
                <w:sz w:val="24"/>
              </w:rPr>
              <w:t>в соответствии с выбранными профессиональными компетенциями (профессиональными областями деятельности) с учетом реализации проекта "Билет в будущее"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И.А.Черноскутова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И.А.Рожков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М.А.Боровская</w:t>
            </w:r>
            <w:proofErr w:type="spellEnd"/>
            <w:r>
              <w:rPr>
                <w:sz w:val="24"/>
              </w:rPr>
              <w:t>, заместитель Министра науки и высшего образования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Ю.Е.Михеева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gramStart"/>
            <w:r>
              <w:rPr>
                <w:sz w:val="24"/>
              </w:rPr>
              <w:t>Департамента социального развития Министерства экономического развития Российской Федерации</w:t>
            </w:r>
            <w:proofErr w:type="gramEnd"/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И.Э. Торосов, заместитель Министра экономического развития,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Е.В.Шмелева</w:t>
            </w:r>
            <w:proofErr w:type="spellEnd"/>
            <w:r>
              <w:rPr>
                <w:sz w:val="24"/>
              </w:rPr>
              <w:br/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Образовательный фонд "Талант и Успех"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А.Е.Тимкин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И.Ю. </w:t>
            </w:r>
            <w:proofErr w:type="spellStart"/>
            <w:r>
              <w:rPr>
                <w:sz w:val="24"/>
              </w:rPr>
              <w:t>Суперекин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первый заместитель генерального директора Союза "Молодые профессионалы (</w:t>
            </w: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 xml:space="preserve"> Россия)"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Р.Н.Уразов</w:t>
            </w:r>
            <w:proofErr w:type="spellEnd"/>
            <w:r>
              <w:rPr>
                <w:sz w:val="24"/>
              </w:rPr>
              <w:t>, генеральный директор Союза "Молодые профессионалы (</w:t>
            </w: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 xml:space="preserve"> Россия)"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Обновление материально-технической базы для занятий физической культурой и спортом общеобразовательных организаций, </w:t>
            </w:r>
            <w:r>
              <w:rPr>
                <w:sz w:val="24"/>
              </w:rPr>
              <w:br/>
              <w:t>расположенных в сельской местности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А.Е.Тимкин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А.Е.Тимкин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  <w:r>
              <w:rPr>
                <w:sz w:val="24"/>
              </w:rPr>
              <w:br/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исполняющий обязанности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О.Ю.Васильева</w:t>
            </w:r>
            <w:proofErr w:type="spellEnd"/>
            <w:r>
              <w:rPr>
                <w:sz w:val="24"/>
              </w:rPr>
              <w:t xml:space="preserve"> Министр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Разработка методологии сопровождения, </w:t>
            </w:r>
            <w:r>
              <w:rPr>
                <w:i/>
                <w:sz w:val="24"/>
              </w:rPr>
              <w:t>наставничества и "шефства"</w:t>
            </w:r>
            <w:r>
              <w:rPr>
                <w:sz w:val="24"/>
              </w:rPr>
              <w:t xml:space="preserve">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 xml:space="preserve"> обучающимися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  <w:r>
              <w:rPr>
                <w:sz w:val="24"/>
              </w:rPr>
              <w:br/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И.А.Рожков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М.А.Боровская</w:t>
            </w:r>
            <w:proofErr w:type="spellEnd"/>
            <w:r>
              <w:rPr>
                <w:sz w:val="24"/>
              </w:rPr>
              <w:t>, заместитель Министра науки и высшего образования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Е.В.Шмелева</w:t>
            </w:r>
            <w:proofErr w:type="spellEnd"/>
            <w:r>
              <w:rPr>
                <w:sz w:val="24"/>
              </w:rPr>
              <w:br/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Образовательного фонда "Талант и Успех"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освоения дополнительных общеобразовательных программ, в том числе с использованием </w:t>
            </w:r>
            <w:r>
              <w:rPr>
                <w:i/>
                <w:sz w:val="24"/>
              </w:rPr>
              <w:t>дистанционных технологий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  <w:t>для детей с ограниченными возможностями здоровья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 xml:space="preserve">отдыха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А.Е.Тимкин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И.А.Рожков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М.А.Боровская</w:t>
            </w:r>
            <w:proofErr w:type="spellEnd"/>
            <w:r>
              <w:rPr>
                <w:sz w:val="24"/>
              </w:rPr>
              <w:t>, заместитель Министра науки и высшего образования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региональных центров </w:t>
            </w:r>
            <w:r>
              <w:rPr>
                <w:i/>
                <w:sz w:val="24"/>
              </w:rPr>
              <w:t>выявления, поддержки и развития способностей и талантов у детей и молодежи, созданных с учетом опыта Образовательного фонда "Талант и успех"</w:t>
            </w:r>
            <w:r>
              <w:rPr>
                <w:sz w:val="24"/>
              </w:rPr>
              <w:t>, во всех субъектах Российской Федерации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А.Е.Тимкин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Е.В.Шмелева</w:t>
            </w:r>
            <w:proofErr w:type="spellEnd"/>
            <w:r>
              <w:rPr>
                <w:sz w:val="24"/>
              </w:rPr>
              <w:br/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Образовательного фонда "Талант и Успех"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И.А.Рожков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М.А.Боровская</w:t>
            </w:r>
            <w:proofErr w:type="spellEnd"/>
            <w:r>
              <w:rPr>
                <w:sz w:val="24"/>
              </w:rPr>
              <w:t>, заместитель Министра науки и высшего образования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Создание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А.Е.Тимкин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А.И. Рожков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  <w:r>
              <w:rPr>
                <w:sz w:val="24"/>
              </w:rPr>
              <w:br/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М.А.Боровская</w:t>
            </w:r>
            <w:proofErr w:type="spellEnd"/>
            <w:r>
              <w:rPr>
                <w:sz w:val="24"/>
              </w:rPr>
              <w:t>, заместитель Министра науки и высшего образования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 xml:space="preserve"> проекта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АО "Российская венчурная компания"</w:t>
            </w:r>
            <w:r>
              <w:rPr>
                <w:sz w:val="24"/>
              </w:rPr>
              <w:br/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Внедрение во всех субъектах Российской </w:t>
            </w:r>
            <w:proofErr w:type="gramStart"/>
            <w:r>
              <w:rPr>
                <w:sz w:val="24"/>
              </w:rPr>
              <w:t xml:space="preserve">Федерации </w:t>
            </w:r>
            <w:r>
              <w:rPr>
                <w:i/>
                <w:sz w:val="24"/>
              </w:rPr>
              <w:t>целевой модели развития региональных систем дополнительного образования детей</w:t>
            </w:r>
            <w:proofErr w:type="gramEnd"/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А.Е.Тимкин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Е.В.Шмелева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Образовательного фонда "Талант и Успех"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Международной математической олимпиады в Санкт-Петербурге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А.Е. Четвертков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</w:t>
            </w:r>
            <w:proofErr w:type="gramStart"/>
            <w:r>
              <w:rPr>
                <w:sz w:val="24"/>
              </w:rPr>
              <w:t>политики в сфере оценки качества общего образования Министерства просвещения Российской Федерации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М.Н.Ракова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И.А.Рожков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высшего образования и </w:t>
            </w:r>
            <w:r>
              <w:rPr>
                <w:sz w:val="24"/>
              </w:rPr>
              <w:lastRenderedPageBreak/>
              <w:t>молодежной политики Министерства науки и высшего образования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М.А.Боровская</w:t>
            </w:r>
            <w:proofErr w:type="spellEnd"/>
            <w:r>
              <w:rPr>
                <w:sz w:val="24"/>
              </w:rPr>
              <w:t xml:space="preserve">, заместитель Министра науки и высшего </w:t>
            </w:r>
            <w:r>
              <w:rPr>
                <w:sz w:val="24"/>
              </w:rPr>
              <w:lastRenderedPageBreak/>
              <w:t>образования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Ж.В. Воробьева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председатель Комитета по образованию Санкт-Петербурга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А.Д. </w:t>
            </w:r>
            <w:proofErr w:type="spellStart"/>
            <w:r>
              <w:rPr>
                <w:sz w:val="24"/>
              </w:rPr>
              <w:t>Беглов</w:t>
            </w:r>
            <w:proofErr w:type="spellEnd"/>
            <w:r>
              <w:rPr>
                <w:sz w:val="24"/>
              </w:rPr>
              <w:t>, временно исполняющий обязанности Губернатора Санкт-Петербурга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детей и </w:t>
            </w:r>
            <w:r>
              <w:rPr>
                <w:i/>
                <w:sz w:val="24"/>
              </w:rPr>
              <w:t>представителей молодежи из числа иностранных граждан</w:t>
            </w:r>
            <w:r>
              <w:rPr>
                <w:sz w:val="24"/>
              </w:rPr>
              <w:t xml:space="preserve"> в летних школах, организованных российскими образовательными организациями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И.А.Рожков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М.А.Боровская</w:t>
            </w:r>
            <w:proofErr w:type="spellEnd"/>
            <w:r>
              <w:rPr>
                <w:sz w:val="24"/>
              </w:rPr>
              <w:t>, заместитель Министра науки и высшего образования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Д.Ю. </w:t>
            </w:r>
            <w:proofErr w:type="spellStart"/>
            <w:r>
              <w:rPr>
                <w:sz w:val="24"/>
              </w:rPr>
              <w:t>Гужеля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руководителя </w:t>
            </w:r>
            <w:proofErr w:type="spellStart"/>
            <w:r>
              <w:rPr>
                <w:sz w:val="24"/>
              </w:rPr>
              <w:t>Россотрудничества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Э.В. Митрофанова, руководитель </w:t>
            </w:r>
            <w:proofErr w:type="spellStart"/>
            <w:r>
              <w:rPr>
                <w:sz w:val="24"/>
              </w:rPr>
              <w:t>Россотрудничества</w:t>
            </w:r>
            <w:proofErr w:type="spellEnd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Создание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И.А.Рожков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М.А.Боровская</w:t>
            </w:r>
            <w:proofErr w:type="spellEnd"/>
            <w:r>
              <w:rPr>
                <w:sz w:val="24"/>
              </w:rPr>
              <w:t>, заместитель Министра науки и высшего образования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М.Ю. </w:t>
            </w:r>
            <w:proofErr w:type="spellStart"/>
            <w:r>
              <w:rPr>
                <w:sz w:val="24"/>
              </w:rPr>
              <w:t>Алашкевич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вице-президент, государственной корпорации "Банк развития и внешнеэкономической деятельности (Внешэкономбанк)"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С.В. </w:t>
            </w:r>
            <w:proofErr w:type="spellStart"/>
            <w:r>
              <w:rPr>
                <w:sz w:val="24"/>
              </w:rPr>
              <w:t>Ячевская</w:t>
            </w:r>
            <w:proofErr w:type="spellEnd"/>
            <w:r>
              <w:rPr>
                <w:sz w:val="24"/>
              </w:rPr>
              <w:t xml:space="preserve"> Заместитель Председателя Внешэкономбанка — член Правления 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 xml:space="preserve"> проекта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Общероссийская общественная организация "Российский союз промышленников и предпринимателей"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lang w:val="en-US"/>
              </w:rPr>
              <w:br/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В.Ю.Сурвилло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Советник Президента Общероссийской общественной организации "Деловая Россия"</w:t>
            </w:r>
            <w:r>
              <w:rPr>
                <w:sz w:val="24"/>
              </w:rPr>
              <w:br/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lang w:val="en-US"/>
              </w:rPr>
              <w:br/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 xml:space="preserve"> проекта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lang w:val="en-US"/>
              </w:rPr>
              <w:br/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</w:t>
            </w:r>
            <w:r>
              <w:rPr>
                <w:i/>
                <w:sz w:val="24"/>
              </w:rPr>
              <w:t>наставничества и "шефства"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И.А.Рожков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М.А.Боровская</w:t>
            </w:r>
            <w:proofErr w:type="spellEnd"/>
            <w:r>
              <w:rPr>
                <w:sz w:val="24"/>
              </w:rPr>
              <w:t>, заместитель Министра науки и высшего образования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 к 2024 году обучающимся 5-11 классов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  <w:proofErr w:type="gramEnd"/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И.А.Михеев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  <w:r>
              <w:rPr>
                <w:sz w:val="24"/>
              </w:rPr>
              <w:br/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И.П.Потехина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М.А.Инкин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генерального директора ФГАУ "Фонд новых форм развития образования"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А.И.Рожков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М.А.Боровская</w:t>
            </w:r>
            <w:proofErr w:type="spellEnd"/>
            <w:r>
              <w:rPr>
                <w:sz w:val="24"/>
              </w:rPr>
              <w:t>, заместитель Министра науки и высшего образования Российской Федерации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numPr>
                <w:ilvl w:val="0"/>
                <w:numId w:val="17"/>
              </w:num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А.О.Аракелова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науки и образования Министерства культуры Российской Федерации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Н.А.Малаков</w:t>
            </w:r>
            <w:proofErr w:type="spellEnd"/>
            <w:r>
              <w:rPr>
                <w:sz w:val="24"/>
              </w:rPr>
              <w:t xml:space="preserve">, заместитель Министра культуры Российской Федерации </w:t>
            </w:r>
          </w:p>
        </w:tc>
        <w:tc>
          <w:tcPr>
            <w:tcW w:w="149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</w:tbl>
    <w:p>
      <w:pPr>
        <w:spacing w:line="240" w:lineRule="atLeast"/>
        <w:jc w:val="center"/>
      </w:pPr>
      <w:r>
        <w:br w:type="page"/>
      </w:r>
      <w:r>
        <w:lastRenderedPageBreak/>
        <w:t>6. Дополнительная информация</w:t>
      </w:r>
    </w:p>
    <w:p>
      <w:pPr>
        <w:spacing w:line="240" w:lineRule="atLeast"/>
      </w:pPr>
    </w:p>
    <w:p>
      <w:pPr>
        <w:spacing w:line="240" w:lineRule="atLeast"/>
        <w:ind w:firstLine="709"/>
      </w:pPr>
      <w:r>
        <w:rPr>
          <w:vertAlign w:val="superscript"/>
        </w:rPr>
        <w:t>1</w:t>
      </w:r>
      <w:r>
        <w:t xml:space="preserve"> Общая численность детей, которые занимаются в образовательных организациях различных типов, реализующих дополнительные общеразвивающие программы всех направленностей, в сельской местности и поселках городского типа на 1 января 2018 г. составляет </w:t>
      </w:r>
      <w:r>
        <w:br/>
        <w:t>2 269 800 человек (из них 1 739 243 человек - в сельской местности; 530 557 человек - в поселках городского типа).</w:t>
      </w:r>
    </w:p>
    <w:p>
      <w:pPr>
        <w:spacing w:line="240" w:lineRule="atLeast"/>
        <w:ind w:firstLine="709"/>
      </w:pPr>
      <w:r>
        <w:rPr>
          <w:vertAlign w:val="superscript"/>
        </w:rPr>
        <w:t>2</w:t>
      </w:r>
      <w:proofErr w:type="gramStart"/>
      <w:r>
        <w:t> Д</w:t>
      </w:r>
      <w:proofErr w:type="gramEnd"/>
      <w:r>
        <w:t>алее по аналогичным мероприятиям - накопительным итогом по отношению к 2019 году.</w:t>
      </w:r>
    </w:p>
    <w:p>
      <w:pPr>
        <w:spacing w:line="240" w:lineRule="atLeast"/>
        <w:ind w:firstLine="709"/>
      </w:pPr>
      <w:r>
        <w:rPr>
          <w:vertAlign w:val="superscript"/>
        </w:rPr>
        <w:t>3</w:t>
      </w:r>
      <w:proofErr w:type="gramStart"/>
      <w:r>
        <w:rPr>
          <w:lang w:val="es-ES"/>
        </w:rPr>
        <w:t> </w:t>
      </w:r>
      <w:r>
        <w:t>Д</w:t>
      </w:r>
      <w:proofErr w:type="gramEnd"/>
      <w:r>
        <w:t>алее по аналогичным мероприятиям - накопительным итогом по отношению к 2018 году.</w:t>
      </w:r>
    </w:p>
    <w:p>
      <w:pPr>
        <w:spacing w:line="240" w:lineRule="atLeast"/>
        <w:ind w:firstLine="709"/>
      </w:pPr>
      <w:r>
        <w:rPr>
          <w:vertAlign w:val="superscript"/>
        </w:rPr>
        <w:t>4</w:t>
      </w:r>
      <w:proofErr w:type="gramStart"/>
      <w:r>
        <w:rPr>
          <w:lang w:val="es-ES"/>
        </w:rPr>
        <w:t> </w:t>
      </w:r>
      <w:r>
        <w:t>Д</w:t>
      </w:r>
      <w:proofErr w:type="gramEnd"/>
      <w:r>
        <w:t xml:space="preserve">алее по аналогичным мероприятиям - количество детей, получивших рекомендации по построению </w:t>
      </w:r>
      <w:r>
        <w:rPr>
          <w:i/>
        </w:rPr>
        <w:t xml:space="preserve">индивидуального учебного плана </w:t>
      </w:r>
      <w:r>
        <w:t>в соответствии с выбранными профессиональными компетенциями (профессиональными областями деятельности) в рамках проекта "Билет в будущее" за счет средств федерального бюджета.</w:t>
      </w:r>
    </w:p>
    <w:p>
      <w:pPr>
        <w:spacing w:line="240" w:lineRule="atLeast"/>
        <w:ind w:firstLine="709"/>
      </w:pPr>
      <w:r>
        <w:rPr>
          <w:vertAlign w:val="superscript"/>
        </w:rPr>
        <w:t>5</w:t>
      </w:r>
      <w:proofErr w:type="gramStart"/>
      <w:r>
        <w:rPr>
          <w:vertAlign w:val="superscript"/>
          <w:lang w:val="es-ES"/>
        </w:rPr>
        <w:t> </w:t>
      </w:r>
      <w:r>
        <w:t>Д</w:t>
      </w:r>
      <w:proofErr w:type="gramEnd"/>
      <w:r>
        <w:t>алее по аналогичным мероприятиям - накопительным итогом к соответствующему году.</w:t>
      </w:r>
    </w:p>
    <w:p>
      <w:pPr>
        <w:spacing w:line="240" w:lineRule="atLeast"/>
        <w:ind w:firstLine="709"/>
      </w:pPr>
      <w:r>
        <w:rPr>
          <w:vertAlign w:val="superscript"/>
        </w:rPr>
        <w:t>6</w:t>
      </w:r>
      <w:proofErr w:type="gramStart"/>
      <w:r>
        <w:rPr>
          <w:vertAlign w:val="superscript"/>
          <w:lang w:val="es-ES"/>
        </w:rPr>
        <w:t> </w:t>
      </w:r>
      <w:r>
        <w:t>Д</w:t>
      </w:r>
      <w:proofErr w:type="gramEnd"/>
      <w:r>
        <w:t xml:space="preserve">алее по аналогичным мероприятиям - количество учащихся 6-11 классов общеобразовательных организаций, получивших рекомендации по построению </w:t>
      </w:r>
      <w:r>
        <w:rPr>
          <w:i/>
        </w:rPr>
        <w:t xml:space="preserve">индивидуального учебного плана </w:t>
      </w:r>
      <w:r>
        <w:t>в соответствии с выбранными профессиональными компетенциями (профессиональными областями деятельности) в рамках проекта "Билет в будущее".</w:t>
      </w:r>
    </w:p>
    <w:p>
      <w:pPr>
        <w:spacing w:line="240" w:lineRule="atLeast"/>
        <w:ind w:firstLine="709"/>
      </w:pPr>
      <w:r>
        <w:rPr>
          <w:vertAlign w:val="superscript"/>
        </w:rPr>
        <w:t>7</w:t>
      </w:r>
      <w:r>
        <w:t> Значения показателей настоящего федерального проекта по субъектам Российской Федерации определяются ежегодно по итогам отбора на предоставление субсидии федерального бюджета бюджетам субъектов Российской Федерации на финансовое обеспечение реализации соответствующих мероприятий.</w:t>
      </w:r>
    </w:p>
    <w:p>
      <w:pPr>
        <w:spacing w:line="240" w:lineRule="atLeast"/>
        <w:ind w:firstLine="709"/>
      </w:pPr>
      <w:r>
        <w:rPr>
          <w:vertAlign w:val="superscript"/>
        </w:rPr>
        <w:t>8</w:t>
      </w:r>
      <w:r>
        <w:t> Объем финансового обеспечения реализации настоящего федерального проекта в разрезе субъектов Российской Федерации определяется ежегодно по итогам отбора на предоставление субсидии федерального бюджета бюджетам субъектов Российской Федерации на финансовое обеспечение реализации соответствующих мероприятий.</w:t>
      </w:r>
    </w:p>
    <w:p>
      <w:pPr>
        <w:spacing w:line="240" w:lineRule="atLeast"/>
        <w:ind w:firstLine="709"/>
      </w:pPr>
      <w:r>
        <w:rPr>
          <w:vertAlign w:val="superscript"/>
        </w:rPr>
        <w:t>9 </w:t>
      </w:r>
      <w:r>
        <w:t>Международные математические центры, выполняющие исследования и разработки по актуальным направлениям развития математики с участием российских и зарубежных ведущих ученых, создаются в рамках федерального проекта "Развитие научной и научно-производственной кооперации" национального проекта "Наука".</w:t>
      </w:r>
    </w:p>
    <w:p>
      <w:pPr>
        <w:spacing w:line="240" w:lineRule="atLeast"/>
        <w:ind w:firstLine="709"/>
      </w:pPr>
      <w:r>
        <w:rPr>
          <w:vertAlign w:val="superscript"/>
        </w:rPr>
        <w:t>10 </w:t>
      </w:r>
      <w:r>
        <w:t>Финансовое обеспечение указанных мероприятий предусмотрено в федеральном проекте "Развитие научной и научно-производственной кооперации" национального проекта "Наука".</w:t>
      </w:r>
    </w:p>
    <w:p>
      <w:pPr>
        <w:spacing w:line="240" w:lineRule="atLeast"/>
        <w:ind w:firstLine="709"/>
      </w:pPr>
      <w:r>
        <w:rPr>
          <w:vertAlign w:val="superscript"/>
        </w:rPr>
        <w:t>11 </w:t>
      </w:r>
      <w:r>
        <w:t xml:space="preserve">Участник будет уточнен дополнительно. </w:t>
      </w: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jc w:val="center"/>
      </w:pPr>
      <w:r>
        <w:lastRenderedPageBreak/>
        <w:t>Термины и понятия, используемые в паспорте федерального проекта</w:t>
      </w:r>
    </w:p>
    <w:p>
      <w:pPr>
        <w:spacing w:line="240" w:lineRule="atLeast"/>
      </w:pPr>
    </w:p>
    <w:p>
      <w:pPr>
        <w:ind w:firstLine="709"/>
      </w:pPr>
      <w:r>
        <w:t>1. Детские технопарки "</w:t>
      </w:r>
      <w:proofErr w:type="spellStart"/>
      <w:r>
        <w:t>Кванториум</w:t>
      </w:r>
      <w:proofErr w:type="spellEnd"/>
      <w:r>
        <w:t xml:space="preserve">" - образовательные организации, осуществляющие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программам, соответствующим приоритетным направлениям технологического развития Российской Федерации.</w:t>
      </w:r>
    </w:p>
    <w:p>
      <w:pPr>
        <w:ind w:firstLine="709"/>
      </w:pPr>
      <w:r>
        <w:t>2. </w:t>
      </w:r>
      <w:proofErr w:type="gramStart"/>
      <w:r>
        <w:t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(часть 1 статьи 16 Федерального закона от 29 декабря 2012 г. № 273-ФЗ "Об образовании в Российской Федерации" (Закон № 273-ФЗ).</w:t>
      </w:r>
      <w:proofErr w:type="gramEnd"/>
    </w:p>
    <w:p>
      <w:pPr>
        <w:ind w:firstLine="709"/>
      </w:pPr>
      <w:r>
        <w:t>3. 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(пункт 28 статьи 2 Закона № 273-ФЗ).</w:t>
      </w:r>
    </w:p>
    <w:p>
      <w:pPr>
        <w:ind w:firstLine="709"/>
      </w:pPr>
      <w:r>
        <w:t xml:space="preserve">4. Летние школы - вид организации обучения в каникулярное время, программно-тематическое содержание которого выходит за рамки основных образовательных программ, с целю формирования у обучающихся определенных навыков и компетенций, в том числе практических, соответствующих тематикам проведения летних школ, поддержки инициативной и талантливой молодежи, создания особой </w:t>
      </w:r>
      <w:proofErr w:type="gramStart"/>
      <w:r>
        <w:t>социокультурно-среды</w:t>
      </w:r>
      <w:proofErr w:type="gramEnd"/>
      <w:r>
        <w:t>, сообществ обучающихся.</w:t>
      </w:r>
    </w:p>
    <w:p>
      <w:pPr>
        <w:ind w:firstLine="709"/>
      </w:pPr>
      <w:r>
        <w:t>5. Мобильный технопарк для детей - мобильная (передвижная) высокотехнологичная лаборатория, в том числе оснащенная по модели детского технопарка "</w:t>
      </w:r>
      <w:proofErr w:type="spellStart"/>
      <w:r>
        <w:t>Кванториум</w:t>
      </w:r>
      <w:proofErr w:type="spellEnd"/>
      <w:r>
        <w:t xml:space="preserve">", на базе передвижной станции (автоприцеп </w:t>
      </w:r>
      <w:proofErr w:type="gramStart"/>
      <w:r>
        <w:t>и(</w:t>
      </w:r>
      <w:proofErr w:type="gramEnd"/>
      <w:r>
        <w:t>или) грузовой автомобиль), находящаяся на балансе образовательной организации, реализующей дополнительные общеобразовательные программы, в том числе детского технопарка "</w:t>
      </w:r>
      <w:proofErr w:type="spellStart"/>
      <w:r>
        <w:t>Кванториум</w:t>
      </w:r>
      <w:proofErr w:type="spellEnd"/>
      <w:r>
        <w:t xml:space="preserve">", осуществляющая в специальном режиме обучение по дополнительным общеобразовательным программам естественнонаучной и технической направленности, совмещая очную и дистанционную формы обучения, а также </w:t>
      </w:r>
      <w:proofErr w:type="gramStart"/>
      <w:r>
        <w:t>реализующая</w:t>
      </w:r>
      <w:proofErr w:type="gramEnd"/>
      <w:r>
        <w:t xml:space="preserve"> дополнительную подготовку и практико-ориентированное обучение педагогов школ и учреждений дополнительного образования по соответствующим направленностям. Целью мобильного технопарка является повышение доступности дополнительного образования детей технической и естественнонаучной направленностей, в первую очередь, в муниципальных образованиях с малой численностью населения.</w:t>
      </w:r>
    </w:p>
    <w:p>
      <w:pPr>
        <w:ind w:firstLine="709"/>
      </w:pPr>
      <w:r>
        <w:lastRenderedPageBreak/>
        <w:t xml:space="preserve">6. Наставничество ("шефство") - метод обучения, при котором более опытный и компетентный участник образовательной деятельности (наставник) помогает и направляет менее опытного участника при решении конкретных практических задач. </w:t>
      </w:r>
      <w:proofErr w:type="gramStart"/>
      <w:r>
        <w:t>Наставники - высококвалифицированные работники промышленности и сельского хозяйства, транспорта, инженерно-технические работники, государственные и муниципальные служащие, учителя, преподаватели и другие работники образовательных организаций, врачи, работники культуры и деятели искусства, оказывающие содействие молодым рабочим и специалистам,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становлении, в приобретении молодыми рабочими и специалистами опыта</w:t>
      </w:r>
      <w:proofErr w:type="gramEnd"/>
      <w:r>
        <w:t xml:space="preserve"> работы по специальности, </w:t>
      </w:r>
      <w:proofErr w:type="gramStart"/>
      <w:r>
        <w:t>формировании</w:t>
      </w:r>
      <w:proofErr w:type="gramEnd"/>
      <w:r>
        <w:t xml:space="preserve"> у них практических знаний и навыков, оказывающие постоянную и эффективную помощь молодым рабочим и специалистам в совершенствовании форм и методов работы, участвующие в проведении работы по воспитанию молодых рабочих и специалистов, повышении их общественной активности и формировании гражданской позиции.</w:t>
      </w:r>
    </w:p>
    <w:p>
      <w:pPr>
        <w:ind w:firstLine="709"/>
      </w:pPr>
      <w:r>
        <w:t>7. Образовательные онлайн-платформы, в том числе "</w:t>
      </w:r>
      <w:proofErr w:type="spellStart"/>
      <w:r>
        <w:t>Проектория</w:t>
      </w:r>
      <w:proofErr w:type="spellEnd"/>
      <w:r>
        <w:t>", "</w:t>
      </w:r>
      <w:proofErr w:type="spellStart"/>
      <w:r>
        <w:t>Сириус</w:t>
      </w:r>
      <w:proofErr w:type="gramStart"/>
      <w:r>
        <w:t>.О</w:t>
      </w:r>
      <w:proofErr w:type="gramEnd"/>
      <w:r>
        <w:t>нлайн</w:t>
      </w:r>
      <w:proofErr w:type="spellEnd"/>
      <w:r>
        <w:t>", и аналогичные платформы, направленные на раннюю профессиональную ориентацию обучающихся, - информационные ресурсы, предоставляющие образовательный контент по программам дополнительного образования детей, профессиональной навигации для старшеклассников, направленный на профессиональную ориентацию детей, навигацию по существующим профессиям, вовлечение детей в решение проектных задач.</w:t>
      </w:r>
    </w:p>
    <w:p>
      <w:pPr>
        <w:ind w:firstLine="709"/>
      </w:pPr>
      <w:r>
        <w:t>8. </w:t>
      </w:r>
      <w:proofErr w:type="gramStart"/>
      <w:r>
        <w:t>Представители молодежи из числа иностранных граждан - лица, являющиеся гражданами иностранных государств, в возрасте от 14 до 30 лет (в целях реализации федерального проекта ограничение по возрасту участников установлено в соответствии с распоряжением Правительства Российской Федерации от 29 ноября 2014 г. № 2403-р "Об утверждении Основ государственной молодежной политики Российской Федерации на период до 2025 года").</w:t>
      </w:r>
      <w:proofErr w:type="gramEnd"/>
    </w:p>
    <w:p>
      <w:pPr>
        <w:ind w:firstLine="709"/>
      </w:pPr>
      <w:r>
        <w:t xml:space="preserve">9. Проект "Билет в будущее" - мероприятия по ранней профессиональной ориентации учащихся 6 - 11 классов общеобразовательных организаций. Ранняя профессиональная ориентация учащихся 6 - 11 классов общеобразовательных организаций проводится в целях выбора сферы деятельности (профессии), трудоустройства, прохождения профессионального обучения. </w:t>
      </w:r>
      <w:proofErr w:type="gramStart"/>
      <w:r>
        <w:t>В 2018 году проект реализуется в соответствии с постановлением Правительства Российской Федерации от 3 ноября 2018 № 1302 "Об утверждении Правил предоставления в 2018 году субсидии из федерального бюджета за счет средств резервного фонда Правительства Российской Федерации союзу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 на реализацию проекта "Билет в будущее".</w:t>
      </w:r>
      <w:proofErr w:type="gramEnd"/>
    </w:p>
    <w:p>
      <w:pPr>
        <w:ind w:firstLine="709"/>
      </w:pPr>
      <w:r>
        <w:lastRenderedPageBreak/>
        <w:t>10. Ранняя профориентация - система мероприятий, направленных на профессиональную ориентацию детей, в том числе детей младшего школьного и дошкольного возраста, и навигацию по существующим профессиям и профессиональным областям, подготовку к выбору профессии (с учетом особенностей личности и потребностей экономики в кадрах) .</w:t>
      </w:r>
    </w:p>
    <w:p>
      <w:pPr>
        <w:ind w:firstLine="709"/>
      </w:pPr>
      <w:r>
        <w:t>11. </w:t>
      </w:r>
      <w:proofErr w:type="gramStart"/>
      <w:r>
        <w:t>Региональные центры выявления, поддержки и развития способностей и талантов у детей и молодежи, созданные с учетом опыта образовательного фонда "Талант и успех" - организации или структурные подразделения функционирующих организаций, осуществляющие свою деятельность по модели центров выявления и поддержки одаренных детей с учетом опыта Образовательного фонда "Талант и успех", обеспечивающие формирование в субъекте Российской Федерации, с учетом его специфики, благоприятной среды для</w:t>
      </w:r>
      <w:proofErr w:type="gramEnd"/>
      <w:r>
        <w:t xml:space="preserve"> развития детей, проявивших выдающиеся способности, внедрение в образовательную систему обновленных образовательных программ, соответствующих современному научно-технологическому развитию страны и погружающих детей в образовательные ситуации через решение задач, актуальных для науки, искусства, спорта, бизнеса, общества в целом.</w:t>
      </w:r>
    </w:p>
    <w:p>
      <w:pPr>
        <w:ind w:firstLine="709"/>
      </w:pPr>
      <w:r>
        <w:t>12. </w:t>
      </w:r>
      <w:proofErr w:type="gramStart"/>
      <w:r>
        <w:t>Целевая модель развития региональных систем дополнительного образования детей - разработанная во исполнение п. 2 протокола заседании президиума Совета при Президенте Российской Федерации по стратегическому развитию и приоритетным проектам от 29 марта 2018 г. № 3 модель комплексного функционирования всех институциональных, управленческих, организационных и содержательных составляющих дополнительного образования детей, реализуемая в конкретном субъекте Российской Федерации с целью обеспечения к 2024 году охвата современными</w:t>
      </w:r>
      <w:proofErr w:type="gramEnd"/>
      <w:r>
        <w:t xml:space="preserve"> дополнительными общеобразовательными программами не менее 80% детей в возрасте от 5 до 18 лет. Целевая модель развития региональных систем дополнительного образования детей включает в себя:</w:t>
      </w:r>
    </w:p>
    <w:p>
      <w:pPr>
        <w:ind w:firstLine="709"/>
      </w:pPr>
      <w:r>
        <w:t>эффективную систему управления в сфере дополнительного образования детей;</w:t>
      </w:r>
    </w:p>
    <w:p>
      <w:pPr>
        <w:ind w:firstLine="709"/>
      </w:pPr>
      <w:r>
        <w:t xml:space="preserve">функционирование системы персонифицированного финансирования дополнительного образования детей, </w:t>
      </w:r>
    </w:p>
    <w:p>
      <w:pPr>
        <w:ind w:firstLine="709"/>
      </w:pPr>
      <w:r>
        <w:t>обновление содержания и методов обучения, направленных на обеспечение равного доступа для детей к современным и вариативным дополнительным общеобразовательным программам, в том числе для детей из сельской местности, учитывающим индивидуальные потребности детей;</w:t>
      </w:r>
    </w:p>
    <w:p>
      <w:pPr>
        <w:ind w:firstLine="709"/>
      </w:pPr>
      <w:r>
        <w:t xml:space="preserve">систему координации и проведения особо значимых образовательных и просветительских мероприятий по формированию мотивации к дополнительному образованию </w:t>
      </w:r>
      <w:proofErr w:type="gramStart"/>
      <w:r>
        <w:t>у</w:t>
      </w:r>
      <w:proofErr w:type="gramEnd"/>
      <w:r>
        <w:t xml:space="preserve"> обучающихся;</w:t>
      </w:r>
    </w:p>
    <w:p>
      <w:pPr>
        <w:ind w:firstLine="709"/>
      </w:pPr>
      <w:r>
        <w:t>функционирование общедоступного регионального навигатора дополнительного образования детей;</w:t>
      </w:r>
    </w:p>
    <w:p>
      <w:pPr>
        <w:ind w:firstLine="709"/>
      </w:pPr>
      <w:r>
        <w:lastRenderedPageBreak/>
        <w:t xml:space="preserve"> развитие кадрового потенциала системы дополнительного образования с применением механизмов вовлечения специалистов-практиков из других сфер деятельности к созданию и реализации дополнительных общеобразовательных программ и системы непрерывного повышения уровня профессионального мастерства педагогов;</w:t>
      </w:r>
    </w:p>
    <w:p>
      <w:pPr>
        <w:ind w:firstLine="709"/>
      </w:pPr>
      <w:r>
        <w:t>проведение инвентаризации кадрового и инфраструктурного потенциала системы образования субъекта Российской Федерации в целях развития сетевой формы реализации дополнительных общеобразовательных программ;</w:t>
      </w:r>
    </w:p>
    <w:p>
      <w:pPr>
        <w:ind w:firstLine="709"/>
      </w:pPr>
      <w:r>
        <w:t>выявление и распространение лучших региональных практик развития системы дополнительного образования детей.</w:t>
      </w:r>
    </w:p>
    <w:p>
      <w:pPr>
        <w:ind w:firstLine="709"/>
      </w:pPr>
      <w:r>
        <w:t>13. </w:t>
      </w:r>
      <w:proofErr w:type="gramStart"/>
      <w:r>
        <w:t>Центр, реализующий дополнительные общеобразовательные программы на базе образовательной организации высшего образования, - структурное подразделение образовательной организации высшего образования, имеющей соответствующую лицензию на осуществление обучения по дополнительным общеобразовательным программам для детей, развивающим современные компетенции и формирующим у детей изобретательское, креативное, критическое и продуктовое мышление, в том числе с использованием сетевой формы реализации образовательных программ совместно с образовательными организациями иных уровней образования и</w:t>
      </w:r>
      <w:proofErr w:type="gramEnd"/>
      <w:r>
        <w:t xml:space="preserve"> иными организациями, с целью подготовки будущих кадров для отраслей по соответствующим приоритетным направлениям развития Российской Федерации.</w:t>
      </w:r>
    </w:p>
    <w:p>
      <w:pPr>
        <w:ind w:firstLine="709"/>
        <w:rPr>
          <w:szCs w:val="28"/>
        </w:rPr>
      </w:pPr>
      <w:r>
        <w:rPr>
          <w:szCs w:val="28"/>
        </w:rPr>
        <w:t>14. Предпрофессиональные классы - практико-ориентированное среднее общее образование (10-11 классы), реализуемое школами в сотрудничестве с вузами, научными организациями и перспективными работодателями, с использованием высокотехнологичных лабораторных комплексов, направленное на подготовку мотивированных профессиональных кадров для экономики города.</w:t>
      </w:r>
    </w:p>
    <w:p>
      <w:pPr>
        <w:ind w:firstLine="709"/>
      </w:pPr>
    </w:p>
    <w:p>
      <w:pPr>
        <w:ind w:firstLine="709"/>
      </w:pPr>
      <w:r>
        <w:t>Федеральный проект реализуется в рамках подпрограммы "Развитие дополнительного образования детей и реализация мероприятий молодежной политики" проектной части государственной программы Российской Федерации "Развитие образования". Федеральный прое</w:t>
      </w:r>
      <w:proofErr w:type="gramStart"/>
      <w:r>
        <w:t>кт вкл</w:t>
      </w:r>
      <w:proofErr w:type="gramEnd"/>
      <w:r>
        <w:t>ючает в себя продолжение реализации приоритетного проекта "Доступно дополнительное образование для детей" (паспорт утвержден протоколом заседания президиума Совета при Президенте Российской Федерации по стратегическому развитию и приоритетным проектам от 30 ноября 2016 г. № 10). В проекте отсутствуют мероприятия, совпадающие по содержанию, срокам реализации, форме поддержки, виду расходов и составу исполнителей с мероприятиями, предусмотренными другими государственными программами Российской Федерации.</w:t>
      </w:r>
    </w:p>
    <w:p>
      <w:pPr>
        <w:ind w:firstLine="709"/>
      </w:pPr>
      <w:r>
        <w:lastRenderedPageBreak/>
        <w:t>Проект предусматривает проведение апробации наиболее значимых результатов с целью их предварительной оценки и вынесения на проектный комитет национального проекта "Образование" для принятия решения о дальнейшем масштабировании и внедрении в субъектах Российской Федерации.</w:t>
      </w:r>
    </w:p>
    <w:p>
      <w:pPr>
        <w:spacing w:line="240" w:lineRule="atLeast"/>
        <w:jc w:val="center"/>
      </w:pPr>
      <w:r>
        <w:br w:type="page"/>
      </w:r>
      <w:r>
        <w:lastRenderedPageBreak/>
        <w:t>Оценка обеспеченности целей и целевых показателей национального проекта, процент</w:t>
      </w:r>
    </w:p>
    <w:p>
      <w:pPr>
        <w:spacing w:line="240" w:lineRule="atLeast"/>
      </w:pPr>
    </w:p>
    <w:p>
      <w:pPr>
        <w:spacing w:line="24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694"/>
        <w:gridCol w:w="2693"/>
        <w:gridCol w:w="2410"/>
        <w:gridCol w:w="2347"/>
      </w:tblGrid>
      <w:tr>
        <w:trPr>
          <w:tblHeader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Средневзвешенный результат Российской Федерации в группе международных исследований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Место России в мире по присутствию университетов в ТОП-500 глобальных рейтингов университетов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Численность обучающихся, вовлеченных в деятельность общественных объединений,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волонтерских и добровольческих</w:t>
            </w:r>
          </w:p>
        </w:tc>
      </w:tr>
      <w:tr>
        <w:trPr>
          <w:tblHeader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</w:pP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</w:pP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Создано не менее 900 тыс.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Не менее 12 млн. детей приняли участие в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iCs/>
                <w:sz w:val="24"/>
              </w:rPr>
              <w:t>Проектория</w:t>
            </w:r>
            <w:proofErr w:type="spellEnd"/>
            <w:r>
              <w:rPr>
                <w:sz w:val="24"/>
                <w:lang w:val="it-IT"/>
              </w:rPr>
              <w:t>"</w:t>
            </w:r>
            <w:r>
              <w:rPr>
                <w:sz w:val="24"/>
              </w:rPr>
              <w:t xml:space="preserve">, направленных на </w:t>
            </w:r>
            <w:r>
              <w:rPr>
                <w:i/>
                <w:iCs/>
                <w:sz w:val="24"/>
              </w:rPr>
              <w:t>раннюю профориентацию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900 тыс. детей получили рекомендации по построению </w:t>
            </w:r>
            <w:r>
              <w:rPr>
                <w:i/>
                <w:iCs/>
                <w:sz w:val="24"/>
              </w:rPr>
              <w:t xml:space="preserve">индивидуального учебного плана </w:t>
            </w:r>
            <w:r>
              <w:rPr>
                <w:sz w:val="24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Для 935 тыс. детей не менее чем в 7000 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  <w:r>
              <w:rPr>
                <w:sz w:val="24"/>
              </w:rPr>
              <w:br/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Создана сеть детских технопарков, в том числе за счет федеральной поддержки не менее 245 </w:t>
            </w:r>
            <w:r>
              <w:rPr>
                <w:i/>
                <w:iCs/>
                <w:sz w:val="24"/>
              </w:rPr>
              <w:t>детских технопарков "</w:t>
            </w:r>
            <w:proofErr w:type="spellStart"/>
            <w:r>
              <w:rPr>
                <w:i/>
                <w:iCs/>
                <w:sz w:val="24"/>
              </w:rPr>
              <w:t>Кванториум</w:t>
            </w:r>
            <w:proofErr w:type="spellEnd"/>
            <w:r>
              <w:rPr>
                <w:i/>
                <w:iCs/>
                <w:sz w:val="24"/>
              </w:rPr>
              <w:t>"</w:t>
            </w:r>
            <w:r>
              <w:rPr>
                <w:sz w:val="24"/>
              </w:rPr>
              <w:t xml:space="preserve"> и </w:t>
            </w:r>
            <w:r>
              <w:rPr>
                <w:i/>
                <w:iCs/>
                <w:sz w:val="24"/>
              </w:rPr>
              <w:t>340 мобильных технопарков "</w:t>
            </w:r>
            <w:proofErr w:type="spellStart"/>
            <w:r>
              <w:rPr>
                <w:i/>
                <w:iCs/>
                <w:sz w:val="24"/>
              </w:rPr>
              <w:t>Кванториум</w:t>
            </w:r>
            <w:proofErr w:type="spellEnd"/>
            <w:r>
              <w:rPr>
                <w:i/>
                <w:iCs/>
                <w:sz w:val="24"/>
              </w:rPr>
              <w:t>"</w:t>
            </w:r>
            <w:r>
              <w:rPr>
                <w:sz w:val="24"/>
              </w:rPr>
              <w:t xml:space="preserve"> (для детей, проживающих в сельской местности и малых городах), с охватом не менее 2 млн. детей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Разработана методология сопровождения, </w:t>
            </w:r>
            <w:r>
              <w:rPr>
                <w:i/>
                <w:iCs/>
                <w:sz w:val="24"/>
              </w:rPr>
              <w:t>наставничества и "шефства"</w:t>
            </w:r>
            <w:r>
              <w:rPr>
                <w:sz w:val="24"/>
              </w:rPr>
              <w:t xml:space="preserve">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</w:t>
            </w:r>
            <w:proofErr w:type="gramEnd"/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70%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>
              <w:rPr>
                <w:i/>
                <w:iCs/>
                <w:sz w:val="24"/>
              </w:rPr>
              <w:t>дистанционных технологий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Не менее чем в 65 субъектах Российской Федерации созданы </w:t>
            </w:r>
            <w:r>
              <w:rPr>
                <w:i/>
                <w:iCs/>
                <w:sz w:val="24"/>
              </w:rPr>
              <w:t>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</w:t>
            </w:r>
            <w:r>
              <w:rPr>
                <w:sz w:val="24"/>
              </w:rPr>
              <w:t xml:space="preserve">, с охватом не менее 5% обучающихся по </w:t>
            </w:r>
            <w:r>
              <w:rPr>
                <w:sz w:val="24"/>
              </w:rPr>
              <w:lastRenderedPageBreak/>
              <w:t>образовательным программам основного и среднего общего образования в указанных субъектах Российской Федерации</w:t>
            </w:r>
            <w:proofErr w:type="gramEnd"/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Создано не менее 100 </w:t>
            </w:r>
            <w:r>
              <w:rPr>
                <w:i/>
                <w:iCs/>
                <w:sz w:val="24"/>
              </w:rPr>
              <w:t>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 тыс. детей в год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 всех субъектах Российской Федерации внедрена </w:t>
            </w:r>
            <w:r>
              <w:rPr>
                <w:i/>
                <w:iCs/>
                <w:sz w:val="24"/>
              </w:rPr>
              <w:t>целевая модель развития региональных систем дополнительного образования детей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Проведена Международная математическая олимпиада в Санкт-Петербурге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18 тыс. детей и </w:t>
            </w:r>
            <w:r>
              <w:rPr>
                <w:i/>
                <w:iCs/>
                <w:sz w:val="24"/>
              </w:rPr>
              <w:t>представителей молодежи из числа иностранных граждан</w:t>
            </w:r>
            <w:r>
              <w:rPr>
                <w:sz w:val="24"/>
              </w:rPr>
              <w:t xml:space="preserve"> приняли участие в летних школах, реализуемых российскими образовательными организациями</w:t>
            </w:r>
            <w:r>
              <w:rPr>
                <w:sz w:val="24"/>
              </w:rPr>
              <w:br/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Создана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</w:t>
            </w:r>
            <w:r>
              <w:rPr>
                <w:i/>
                <w:iCs/>
                <w:sz w:val="24"/>
              </w:rPr>
              <w:t>наставничества и "шефства"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w="57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34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>
      <w:pPr>
        <w:spacing w:line="240" w:lineRule="atLeast"/>
        <w:jc w:val="center"/>
      </w:pPr>
      <w:r>
        <w:t>_______________</w:t>
      </w:r>
    </w:p>
    <w:sectPr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1134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B06040202020202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>
        <w:rPr>
          <w:noProof/>
          <w:sz w:val="16"/>
        </w:rPr>
        <w:t>Normal.dot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>
        <w:rPr>
          <w:noProof/>
          <w:sz w:val="16"/>
        </w:rPr>
        <w:t>Normal.dot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F791A"/>
    <w:multiLevelType w:val="hybridMultilevel"/>
    <w:tmpl w:val="3962E6AE"/>
    <w:lvl w:ilvl="0" w:tplc="FF54CA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7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6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Cambria" w:hAnsi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/>
      <w:sz w:val="28"/>
    </w:rPr>
  </w:style>
  <w:style w:type="character" w:styleId="a7">
    <w:name w:val="page number"/>
    <w:basedOn w:val="a0"/>
    <w:uiPriority w:val="99"/>
  </w:style>
  <w:style w:type="paragraph" w:styleId="a8">
    <w:name w:val="footnote text"/>
    <w:basedOn w:val="a"/>
    <w:link w:val="a9"/>
    <w:uiPriority w:val="99"/>
    <w:rPr>
      <w:sz w:val="20"/>
    </w:rPr>
  </w:style>
  <w:style w:type="character" w:customStyle="1" w:styleId="a9">
    <w:name w:val="Текст сноски Знак"/>
    <w:link w:val="a8"/>
    <w:uiPriority w:val="99"/>
    <w:rPr>
      <w:rFonts w:ascii="Times New Roman" w:hAnsi="Times New Roman"/>
    </w:rPr>
  </w:style>
  <w:style w:type="character" w:styleId="aa">
    <w:name w:val="footnote reference"/>
    <w:uiPriority w:val="99"/>
    <w:rPr>
      <w:vertAlign w:val="superscript"/>
    </w:rPr>
  </w:style>
  <w:style w:type="paragraph" w:styleId="ab">
    <w:name w:val="Balloon Text"/>
    <w:basedOn w:val="a"/>
    <w:link w:val="ac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Pr>
      <w:sz w:val="16"/>
      <w:szCs w:val="16"/>
    </w:rPr>
  </w:style>
  <w:style w:type="paragraph" w:styleId="af">
    <w:name w:val="annotation text"/>
    <w:basedOn w:val="a"/>
    <w:link w:val="af0"/>
    <w:uiPriority w:val="99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uiPriority w:val="99"/>
    <w:rPr>
      <w:rFonts w:ascii="Times New Roman" w:hAnsi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unhideWhenUsed/>
    <w:rPr>
      <w:b/>
      <w:bCs/>
    </w:rPr>
  </w:style>
  <w:style w:type="character" w:customStyle="1" w:styleId="af2">
    <w:name w:val="Тема примечания Знак"/>
    <w:link w:val="af1"/>
    <w:uiPriority w:val="99"/>
    <w:rPr>
      <w:rFonts w:ascii="Times New Roman" w:hAnsi="Times New Roman"/>
      <w:b/>
      <w:bCs/>
    </w:rPr>
  </w:style>
  <w:style w:type="paragraph" w:styleId="af3">
    <w:name w:val="endnote text"/>
    <w:basedOn w:val="a"/>
    <w:link w:val="af4"/>
    <w:uiPriority w:val="99"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rFonts w:ascii="Times New Roman" w:hAnsi="Times New Roman"/>
    </w:rPr>
  </w:style>
  <w:style w:type="character" w:styleId="af5">
    <w:name w:val="endnote reference"/>
    <w:uiPriority w:val="99"/>
    <w:unhideWhenUsed/>
    <w:rPr>
      <w:vertAlign w:val="superscript"/>
    </w:rPr>
  </w:style>
  <w:style w:type="table" w:customStyle="1" w:styleId="TableNormal">
    <w:name w:val="Table Normal"/>
    <w:qFormat/>
    <w:rPr>
      <w:rFonts w:ascii="Times" w:eastAsia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customStyle="1" w:styleId="af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table" w:styleId="af7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Cambria" w:hAnsi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/>
      <w:sz w:val="28"/>
    </w:rPr>
  </w:style>
  <w:style w:type="character" w:styleId="a7">
    <w:name w:val="page number"/>
    <w:basedOn w:val="a0"/>
    <w:uiPriority w:val="99"/>
  </w:style>
  <w:style w:type="paragraph" w:styleId="a8">
    <w:name w:val="footnote text"/>
    <w:basedOn w:val="a"/>
    <w:link w:val="a9"/>
    <w:uiPriority w:val="99"/>
    <w:rPr>
      <w:sz w:val="20"/>
    </w:rPr>
  </w:style>
  <w:style w:type="character" w:customStyle="1" w:styleId="a9">
    <w:name w:val="Текст сноски Знак"/>
    <w:link w:val="a8"/>
    <w:uiPriority w:val="99"/>
    <w:rPr>
      <w:rFonts w:ascii="Times New Roman" w:hAnsi="Times New Roman"/>
    </w:rPr>
  </w:style>
  <w:style w:type="character" w:styleId="aa">
    <w:name w:val="footnote reference"/>
    <w:uiPriority w:val="99"/>
    <w:rPr>
      <w:vertAlign w:val="superscript"/>
    </w:rPr>
  </w:style>
  <w:style w:type="paragraph" w:styleId="ab">
    <w:name w:val="Balloon Text"/>
    <w:basedOn w:val="a"/>
    <w:link w:val="ac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Pr>
      <w:sz w:val="16"/>
      <w:szCs w:val="16"/>
    </w:rPr>
  </w:style>
  <w:style w:type="paragraph" w:styleId="af">
    <w:name w:val="annotation text"/>
    <w:basedOn w:val="a"/>
    <w:link w:val="af0"/>
    <w:uiPriority w:val="99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uiPriority w:val="99"/>
    <w:rPr>
      <w:rFonts w:ascii="Times New Roman" w:hAnsi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unhideWhenUsed/>
    <w:rPr>
      <w:b/>
      <w:bCs/>
    </w:rPr>
  </w:style>
  <w:style w:type="character" w:customStyle="1" w:styleId="af2">
    <w:name w:val="Тема примечания Знак"/>
    <w:link w:val="af1"/>
    <w:uiPriority w:val="99"/>
    <w:rPr>
      <w:rFonts w:ascii="Times New Roman" w:hAnsi="Times New Roman"/>
      <w:b/>
      <w:bCs/>
    </w:rPr>
  </w:style>
  <w:style w:type="paragraph" w:styleId="af3">
    <w:name w:val="endnote text"/>
    <w:basedOn w:val="a"/>
    <w:link w:val="af4"/>
    <w:uiPriority w:val="99"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rFonts w:ascii="Times New Roman" w:hAnsi="Times New Roman"/>
    </w:rPr>
  </w:style>
  <w:style w:type="character" w:styleId="af5">
    <w:name w:val="endnote reference"/>
    <w:uiPriority w:val="99"/>
    <w:unhideWhenUsed/>
    <w:rPr>
      <w:vertAlign w:val="superscript"/>
    </w:rPr>
  </w:style>
  <w:style w:type="table" w:customStyle="1" w:styleId="TableNormal">
    <w:name w:val="Table Normal"/>
    <w:qFormat/>
    <w:rPr>
      <w:rFonts w:ascii="Times" w:eastAsia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customStyle="1" w:styleId="af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table" w:styleId="af7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D26F-767B-45E0-938E-F34952EF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12166</Words>
  <Characters>69351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81355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defusr</cp:lastModifiedBy>
  <cp:revision>3</cp:revision>
  <dcterms:created xsi:type="dcterms:W3CDTF">2018-12-10T15:55:00Z</dcterms:created>
  <dcterms:modified xsi:type="dcterms:W3CDTF">2018-12-10T18:02:00Z</dcterms:modified>
</cp:coreProperties>
</file>